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EF895" w14:textId="0AFF431D" w:rsidR="008D3686" w:rsidRDefault="00AF10DD" w:rsidP="00AF10DD">
      <w:pPr>
        <w:jc w:val="right"/>
      </w:pPr>
      <w:r>
        <w:t>Śrem, dn. 28.09.2021 r.</w:t>
      </w:r>
    </w:p>
    <w:p w14:paraId="7DBE5E70" w14:textId="0B39E3A7" w:rsidR="00AF10DD" w:rsidRPr="00AF10DD" w:rsidRDefault="00AF10DD" w:rsidP="00AF10DD">
      <w:pPr>
        <w:jc w:val="right"/>
        <w:rPr>
          <w:b/>
          <w:bCs/>
          <w:sz w:val="24"/>
          <w:szCs w:val="24"/>
        </w:rPr>
      </w:pPr>
    </w:p>
    <w:p w14:paraId="46DF45F9" w14:textId="484D1D48" w:rsidR="00AF10DD" w:rsidRPr="00AF10DD" w:rsidRDefault="00AF10DD" w:rsidP="00AF10DD">
      <w:pPr>
        <w:jc w:val="center"/>
        <w:rPr>
          <w:b/>
          <w:bCs/>
          <w:sz w:val="24"/>
          <w:szCs w:val="24"/>
        </w:rPr>
      </w:pPr>
      <w:r w:rsidRPr="00AF10DD">
        <w:rPr>
          <w:b/>
          <w:bCs/>
          <w:sz w:val="24"/>
          <w:szCs w:val="24"/>
        </w:rPr>
        <w:t xml:space="preserve">Sprawozdanie z przebiegu i wyników konsultacji projektu </w:t>
      </w:r>
      <w:r w:rsidRPr="00AF10DD">
        <w:rPr>
          <w:b/>
          <w:bCs/>
          <w:sz w:val="24"/>
          <w:szCs w:val="24"/>
        </w:rPr>
        <w:br/>
        <w:t>„Strategii Rozwoju Gminy Śrem na lata 2021 – 2028”</w:t>
      </w:r>
    </w:p>
    <w:p w14:paraId="51693815" w14:textId="4C99712B" w:rsidR="00AF10DD" w:rsidRDefault="00AF10DD" w:rsidP="009860CF">
      <w:pPr>
        <w:jc w:val="both"/>
      </w:pPr>
    </w:p>
    <w:p w14:paraId="35975BE8" w14:textId="6D17BA78" w:rsidR="00AF10DD" w:rsidRDefault="00A04884" w:rsidP="00285C15">
      <w:pPr>
        <w:jc w:val="both"/>
      </w:pPr>
      <w:r>
        <w:t xml:space="preserve">Wypełniając wymagania zawarte w art. 6 ust. 6 ustawy z dnia 6 grudnia 2006 r. o zadach prowadzenia polityki rozwoju (Dz. U. z 2019 r. poz. 1295 ze zm.) oraz uchwały nr </w:t>
      </w:r>
      <w:r w:rsidR="00B735E5">
        <w:t xml:space="preserve">267/XXVI/2021 </w:t>
      </w:r>
      <w:r>
        <w:t xml:space="preserve"> Rady Miejskie</w:t>
      </w:r>
      <w:r w:rsidR="00B735E5">
        <w:t xml:space="preserve"> </w:t>
      </w:r>
      <w:r w:rsidR="00E51EEF">
        <w:br/>
      </w:r>
      <w:r w:rsidR="00B735E5">
        <w:t>w Śremie z dnia 25 marca 2021 r. w sprawie szczegółowego trybu i harmonogramu</w:t>
      </w:r>
      <w:r w:rsidR="009860CF">
        <w:t xml:space="preserve"> opracowania projektu Strategii Rozwoju Gminy Śrem na lata 2021 – 2028, niniejszym przedstawiamy sprawozdanie z przebiegu i wyników konsultacji.</w:t>
      </w:r>
    </w:p>
    <w:p w14:paraId="0AD06F26" w14:textId="0EAAB5A3" w:rsidR="00285C15" w:rsidRDefault="00285C15" w:rsidP="00285C15">
      <w:pPr>
        <w:jc w:val="both"/>
      </w:pPr>
      <w:r>
        <w:t>Przedmiotem konsultacji jest projekt „Strategii Rozwoju Gminy Śrem na lata 2021 – 2028</w:t>
      </w:r>
      <w:r w:rsidR="003E630A">
        <w:t>”</w:t>
      </w:r>
      <w:r>
        <w:t>. Celem konsultacji jest zebranie opinii, uwag i propozycji mieszkańców</w:t>
      </w:r>
      <w:r w:rsidR="006E15AE">
        <w:t xml:space="preserve">, partnerów społecznych </w:t>
      </w:r>
      <w:r w:rsidR="00E51EEF">
        <w:br/>
      </w:r>
      <w:r w:rsidR="006E15AE">
        <w:t>i gospodarczych</w:t>
      </w:r>
      <w:r>
        <w:t xml:space="preserve"> Gminy Śrem, </w:t>
      </w:r>
      <w:r w:rsidR="006E15AE">
        <w:t xml:space="preserve">ale też </w:t>
      </w:r>
      <w:r>
        <w:t>sąsiednich gmin i ich związków</w:t>
      </w:r>
      <w:r w:rsidR="006E15AE">
        <w:t xml:space="preserve"> oraz Dyrektora Regionalnego Zarządu Gospodarki Wodnej w Poznaniu na temat projektu Strategii.</w:t>
      </w:r>
    </w:p>
    <w:p w14:paraId="5F230722" w14:textId="7E90B4A6" w:rsidR="006E15AE" w:rsidRDefault="006E15AE" w:rsidP="00285C15">
      <w:pPr>
        <w:jc w:val="both"/>
      </w:pPr>
      <w:r>
        <w:t xml:space="preserve">Z przyczyn </w:t>
      </w:r>
      <w:r w:rsidR="003E486C">
        <w:t xml:space="preserve">pandemicznych projekt Strategii udostępniony był w formie cyfrowej na stronie internetowej </w:t>
      </w:r>
      <w:hyperlink r:id="rId7" w:history="1">
        <w:r w:rsidR="003E486C" w:rsidRPr="0070271A">
          <w:rPr>
            <w:rStyle w:val="Hipercze"/>
          </w:rPr>
          <w:t>www.srem.pl</w:t>
        </w:r>
      </w:hyperlink>
      <w:r w:rsidR="003E486C">
        <w:t xml:space="preserve">. Konsultacje prowadzone były w terminie </w:t>
      </w:r>
      <w:r w:rsidR="003565F4">
        <w:t>9 sierpnia – 13 września, czyli zgodnie z przepisami prawa, trwały 35 dni. Zaproszenie do udziału w konsultacjach zostało skierowane za pośrednictwem elektronicznych narzędzi komunikacji do</w:t>
      </w:r>
      <w:r w:rsidR="002E1486">
        <w:t>:</w:t>
      </w:r>
      <w:r w:rsidR="003565F4">
        <w:t xml:space="preserve"> Radnych </w:t>
      </w:r>
      <w:r w:rsidR="002E1486">
        <w:t xml:space="preserve">Rady Miejskiej w Śremie, Dyrektora Regionalnego Zarządu Gospodarki Wodnej w Poznaniu, gmin ościennych i ich związków: Gmina Brodnica, Gmina Czempiń, Gmina Dolsk, Gmina Kórnik, Gmina Krzywiń, Gmina Książ, Gmina Zaniemyśl, Lider Zielonej Wielkopolski, LGD Wielkopolska Gościnna, Metropolia Poznań. Ogłoszenie </w:t>
      </w:r>
      <w:r w:rsidR="00E51EEF">
        <w:br/>
      </w:r>
      <w:r w:rsidR="002E1486">
        <w:t xml:space="preserve">o konsultacjach zostało również opublikowane w papierowym wydaniu lokalnej gazety. Wszyscy chętni do udziału w konsultacjach byli proszeniu o </w:t>
      </w:r>
      <w:r w:rsidR="001E67C2">
        <w:t>zgłoszenie swoich uwag za pośrednictwem formularza elektronicznego, w formie papierowej na adres Urzędu Miejskiego w Śremie lub na elektroniczne skrzynki Urzędu (e-mail i ePUAP).</w:t>
      </w:r>
    </w:p>
    <w:p w14:paraId="6C434E17" w14:textId="1D355CF9" w:rsidR="00E51EEF" w:rsidRPr="00EF5641" w:rsidRDefault="00B414BB" w:rsidP="00285C15">
      <w:pPr>
        <w:jc w:val="both"/>
      </w:pPr>
      <w:r>
        <w:t xml:space="preserve">W toku </w:t>
      </w:r>
      <w:r w:rsidRPr="00EF5641">
        <w:t xml:space="preserve">konsultacji społecznych spłynęły uwagi do 5 uczestników. Wszystkie uwagi zostały złożone </w:t>
      </w:r>
      <w:r w:rsidRPr="00EF5641">
        <w:br/>
        <w:t xml:space="preserve">w formie papierowej osobiście </w:t>
      </w:r>
      <w:r w:rsidR="00CA3C82" w:rsidRPr="00EF5641">
        <w:t>w Urzędzie</w:t>
      </w:r>
      <w:r w:rsidR="003C57AB" w:rsidRPr="00EF5641">
        <w:t>. Nie zgłoszono uwag za pośrednictwem formularza elektronicznej.</w:t>
      </w:r>
    </w:p>
    <w:p w14:paraId="457C27C3" w14:textId="6ABF008C" w:rsidR="002265A9" w:rsidRDefault="003C57AB" w:rsidP="00285C15">
      <w:pPr>
        <w:jc w:val="both"/>
      </w:pPr>
      <w:r w:rsidRPr="00EF5641">
        <w:t xml:space="preserve">Poniżej przedstawione zostały wszystkie </w:t>
      </w:r>
      <w:r w:rsidR="002265A9" w:rsidRPr="00EF5641">
        <w:t>uwagi zgłoszone w toku konsultacji</w:t>
      </w:r>
      <w:r w:rsidR="002265A9">
        <w:t xml:space="preserve"> wraz z rozstrzygnięciem </w:t>
      </w:r>
      <w:r w:rsidR="0078635B">
        <w:br/>
      </w:r>
      <w:r w:rsidR="002265A9">
        <w:t>i uzasadnieniem.</w:t>
      </w:r>
    </w:p>
    <w:p w14:paraId="0574F493" w14:textId="77777777" w:rsidR="00B27243" w:rsidRDefault="00B27243" w:rsidP="00B27243">
      <w:pPr>
        <w:jc w:val="both"/>
      </w:pPr>
      <w:r>
        <w:t>Wszystkim uczestnikom konsultacji serdecznie dziękujemy za poświęcony czas i zaangażowanie.</w:t>
      </w:r>
    </w:p>
    <w:p w14:paraId="41E4E6BF" w14:textId="77777777" w:rsidR="00B27243" w:rsidRDefault="00B27243" w:rsidP="00285C15">
      <w:pPr>
        <w:jc w:val="both"/>
      </w:pPr>
    </w:p>
    <w:p w14:paraId="0EEEBC36" w14:textId="77777777" w:rsidR="002265A9" w:rsidRDefault="002265A9">
      <w:pPr>
        <w:sectPr w:rsidR="002265A9">
          <w:footerReference w:type="default" r:id="rId8"/>
          <w:pgSz w:w="11906" w:h="16838"/>
          <w:pgMar w:top="1417" w:right="1417" w:bottom="1417" w:left="1417" w:header="708" w:footer="708" w:gutter="0"/>
          <w:cols w:space="708"/>
          <w:docGrid w:linePitch="360"/>
        </w:sectPr>
      </w:pPr>
      <w:r>
        <w:br w:type="page"/>
      </w:r>
    </w:p>
    <w:tbl>
      <w:tblPr>
        <w:tblStyle w:val="Tabela-Siatka"/>
        <w:tblW w:w="13558" w:type="dxa"/>
        <w:tblLook w:val="04A0" w:firstRow="1" w:lastRow="0" w:firstColumn="1" w:lastColumn="0" w:noHBand="0" w:noVBand="1"/>
      </w:tblPr>
      <w:tblGrid>
        <w:gridCol w:w="561"/>
        <w:gridCol w:w="819"/>
        <w:gridCol w:w="5419"/>
        <w:gridCol w:w="2937"/>
        <w:gridCol w:w="1673"/>
        <w:gridCol w:w="2149"/>
      </w:tblGrid>
      <w:tr w:rsidR="00DA1EB7" w:rsidRPr="00B9213B" w14:paraId="294C2A2D" w14:textId="77777777" w:rsidTr="00B611E6">
        <w:tc>
          <w:tcPr>
            <w:tcW w:w="561" w:type="dxa"/>
            <w:vMerge w:val="restart"/>
            <w:shd w:val="clear" w:color="auto" w:fill="BFBFBF" w:themeFill="background1" w:themeFillShade="BF"/>
            <w:vAlign w:val="center"/>
          </w:tcPr>
          <w:p w14:paraId="2CC6CB11" w14:textId="61BB224E" w:rsidR="00DA1EB7" w:rsidRPr="00B9213B" w:rsidRDefault="00DA1EB7" w:rsidP="0078635B">
            <w:pPr>
              <w:ind w:left="29"/>
              <w:jc w:val="center"/>
              <w:rPr>
                <w:rFonts w:cstheme="minorHAnsi"/>
                <w:b/>
                <w:bCs/>
                <w:sz w:val="20"/>
                <w:szCs w:val="20"/>
              </w:rPr>
            </w:pPr>
            <w:r w:rsidRPr="00B9213B">
              <w:rPr>
                <w:rFonts w:cstheme="minorHAnsi"/>
                <w:b/>
                <w:bCs/>
                <w:sz w:val="20"/>
                <w:szCs w:val="20"/>
              </w:rPr>
              <w:lastRenderedPageBreak/>
              <w:t>Lp.</w:t>
            </w:r>
          </w:p>
        </w:tc>
        <w:tc>
          <w:tcPr>
            <w:tcW w:w="819" w:type="dxa"/>
            <w:vMerge w:val="restart"/>
            <w:shd w:val="clear" w:color="auto" w:fill="BFBFBF" w:themeFill="background1" w:themeFillShade="BF"/>
            <w:vAlign w:val="center"/>
          </w:tcPr>
          <w:p w14:paraId="616917D3" w14:textId="24F0C223" w:rsidR="00DA1EB7" w:rsidRPr="00B9213B" w:rsidRDefault="00DA1EB7" w:rsidP="0078635B">
            <w:pPr>
              <w:jc w:val="center"/>
              <w:rPr>
                <w:rFonts w:cstheme="minorHAnsi"/>
                <w:b/>
                <w:bCs/>
                <w:sz w:val="20"/>
                <w:szCs w:val="20"/>
              </w:rPr>
            </w:pPr>
            <w:r w:rsidRPr="00B9213B">
              <w:rPr>
                <w:rFonts w:cstheme="minorHAnsi"/>
                <w:b/>
                <w:bCs/>
                <w:sz w:val="20"/>
                <w:szCs w:val="20"/>
              </w:rPr>
              <w:t>Strona</w:t>
            </w:r>
          </w:p>
        </w:tc>
        <w:tc>
          <w:tcPr>
            <w:tcW w:w="8356" w:type="dxa"/>
            <w:gridSpan w:val="2"/>
            <w:shd w:val="clear" w:color="auto" w:fill="BFBFBF" w:themeFill="background1" w:themeFillShade="BF"/>
            <w:vAlign w:val="center"/>
          </w:tcPr>
          <w:p w14:paraId="5349C442" w14:textId="22C0B146" w:rsidR="00DA1EB7" w:rsidRPr="00B9213B" w:rsidRDefault="00DA1EB7" w:rsidP="0078635B">
            <w:pPr>
              <w:jc w:val="center"/>
              <w:rPr>
                <w:rFonts w:cstheme="minorHAnsi"/>
                <w:b/>
                <w:bCs/>
                <w:sz w:val="20"/>
                <w:szCs w:val="20"/>
              </w:rPr>
            </w:pPr>
            <w:r w:rsidRPr="00B9213B">
              <w:rPr>
                <w:rFonts w:cstheme="minorHAnsi"/>
                <w:b/>
                <w:bCs/>
                <w:sz w:val="20"/>
                <w:szCs w:val="20"/>
              </w:rPr>
              <w:t>Zgłaszane uwagi</w:t>
            </w:r>
          </w:p>
        </w:tc>
        <w:tc>
          <w:tcPr>
            <w:tcW w:w="3822" w:type="dxa"/>
            <w:gridSpan w:val="2"/>
            <w:shd w:val="clear" w:color="auto" w:fill="BFBFBF" w:themeFill="background1" w:themeFillShade="BF"/>
            <w:vAlign w:val="center"/>
          </w:tcPr>
          <w:p w14:paraId="68FC1205" w14:textId="28B7DB65" w:rsidR="00DA1EB7" w:rsidRPr="00B9213B" w:rsidRDefault="00F67927" w:rsidP="0078635B">
            <w:pPr>
              <w:jc w:val="center"/>
              <w:rPr>
                <w:rFonts w:cstheme="minorHAnsi"/>
                <w:b/>
                <w:bCs/>
                <w:sz w:val="20"/>
                <w:szCs w:val="20"/>
              </w:rPr>
            </w:pPr>
            <w:r w:rsidRPr="00B9213B">
              <w:rPr>
                <w:rFonts w:cstheme="minorHAnsi"/>
                <w:b/>
                <w:bCs/>
                <w:sz w:val="20"/>
                <w:szCs w:val="20"/>
              </w:rPr>
              <w:t>Stanowisko Gminy</w:t>
            </w:r>
          </w:p>
        </w:tc>
      </w:tr>
      <w:tr w:rsidR="00B611E6" w:rsidRPr="00B9213B" w14:paraId="7DF62ECB" w14:textId="77777777" w:rsidTr="00B611E6">
        <w:tc>
          <w:tcPr>
            <w:tcW w:w="561" w:type="dxa"/>
            <w:vMerge/>
            <w:shd w:val="clear" w:color="auto" w:fill="BFBFBF" w:themeFill="background1" w:themeFillShade="BF"/>
            <w:vAlign w:val="center"/>
          </w:tcPr>
          <w:p w14:paraId="69FACA73" w14:textId="77777777" w:rsidR="00DA1EB7" w:rsidRPr="00B9213B" w:rsidRDefault="00DA1EB7" w:rsidP="00B9213B">
            <w:pPr>
              <w:ind w:left="29"/>
              <w:rPr>
                <w:rFonts w:cstheme="minorHAnsi"/>
                <w:b/>
                <w:bCs/>
                <w:sz w:val="20"/>
                <w:szCs w:val="20"/>
              </w:rPr>
            </w:pPr>
          </w:p>
        </w:tc>
        <w:tc>
          <w:tcPr>
            <w:tcW w:w="819" w:type="dxa"/>
            <w:vMerge/>
            <w:shd w:val="clear" w:color="auto" w:fill="BFBFBF" w:themeFill="background1" w:themeFillShade="BF"/>
            <w:vAlign w:val="center"/>
          </w:tcPr>
          <w:p w14:paraId="55359044" w14:textId="77777777" w:rsidR="00DA1EB7" w:rsidRPr="00B9213B" w:rsidRDefault="00DA1EB7" w:rsidP="00B9213B">
            <w:pPr>
              <w:rPr>
                <w:rFonts w:cstheme="minorHAnsi"/>
                <w:b/>
                <w:bCs/>
                <w:sz w:val="20"/>
                <w:szCs w:val="20"/>
              </w:rPr>
            </w:pPr>
          </w:p>
        </w:tc>
        <w:tc>
          <w:tcPr>
            <w:tcW w:w="5419" w:type="dxa"/>
            <w:shd w:val="clear" w:color="auto" w:fill="BFBFBF" w:themeFill="background1" w:themeFillShade="BF"/>
            <w:vAlign w:val="center"/>
          </w:tcPr>
          <w:p w14:paraId="02EC6F87" w14:textId="2A99D368" w:rsidR="00DA1EB7" w:rsidRPr="00B9213B" w:rsidRDefault="00DA1EB7" w:rsidP="0078635B">
            <w:pPr>
              <w:jc w:val="center"/>
              <w:rPr>
                <w:rFonts w:cstheme="minorHAnsi"/>
                <w:b/>
                <w:bCs/>
                <w:sz w:val="20"/>
                <w:szCs w:val="20"/>
              </w:rPr>
            </w:pPr>
            <w:r w:rsidRPr="00B9213B">
              <w:rPr>
                <w:rFonts w:cstheme="minorHAnsi"/>
                <w:b/>
                <w:bCs/>
                <w:sz w:val="20"/>
                <w:szCs w:val="20"/>
              </w:rPr>
              <w:t>Treść uwagi / sugestii</w:t>
            </w:r>
          </w:p>
        </w:tc>
        <w:tc>
          <w:tcPr>
            <w:tcW w:w="2937" w:type="dxa"/>
            <w:shd w:val="clear" w:color="auto" w:fill="BFBFBF" w:themeFill="background1" w:themeFillShade="BF"/>
            <w:vAlign w:val="center"/>
          </w:tcPr>
          <w:p w14:paraId="437F33F5" w14:textId="31C13218" w:rsidR="00DA1EB7" w:rsidRPr="00B9213B" w:rsidRDefault="00DA1EB7" w:rsidP="0078635B">
            <w:pPr>
              <w:jc w:val="center"/>
              <w:rPr>
                <w:rFonts w:cstheme="minorHAnsi"/>
                <w:b/>
                <w:bCs/>
                <w:sz w:val="20"/>
                <w:szCs w:val="20"/>
              </w:rPr>
            </w:pPr>
            <w:r w:rsidRPr="00B9213B">
              <w:rPr>
                <w:rFonts w:cstheme="minorHAnsi"/>
                <w:b/>
                <w:bCs/>
                <w:sz w:val="20"/>
                <w:szCs w:val="20"/>
              </w:rPr>
              <w:t>Uzasadnienie</w:t>
            </w:r>
          </w:p>
        </w:tc>
        <w:tc>
          <w:tcPr>
            <w:tcW w:w="1673" w:type="dxa"/>
            <w:shd w:val="clear" w:color="auto" w:fill="BFBFBF" w:themeFill="background1" w:themeFillShade="BF"/>
            <w:vAlign w:val="center"/>
          </w:tcPr>
          <w:p w14:paraId="01F91467" w14:textId="37BC68B9" w:rsidR="00DA1EB7" w:rsidRPr="00B9213B" w:rsidRDefault="004D4E03" w:rsidP="0078635B">
            <w:pPr>
              <w:jc w:val="center"/>
              <w:rPr>
                <w:rFonts w:cstheme="minorHAnsi"/>
                <w:b/>
                <w:bCs/>
                <w:sz w:val="20"/>
                <w:szCs w:val="20"/>
              </w:rPr>
            </w:pPr>
            <w:r w:rsidRPr="00B9213B">
              <w:rPr>
                <w:rFonts w:cstheme="minorHAnsi"/>
                <w:b/>
                <w:bCs/>
                <w:sz w:val="20"/>
                <w:szCs w:val="20"/>
              </w:rPr>
              <w:t>Rozstrzygnięcie</w:t>
            </w:r>
          </w:p>
        </w:tc>
        <w:tc>
          <w:tcPr>
            <w:tcW w:w="2149" w:type="dxa"/>
            <w:shd w:val="clear" w:color="auto" w:fill="BFBFBF" w:themeFill="background1" w:themeFillShade="BF"/>
            <w:vAlign w:val="center"/>
          </w:tcPr>
          <w:p w14:paraId="4B906818" w14:textId="0211FF1A" w:rsidR="00DA1EB7" w:rsidRPr="00B9213B" w:rsidRDefault="004D4E03" w:rsidP="0078635B">
            <w:pPr>
              <w:jc w:val="center"/>
              <w:rPr>
                <w:rFonts w:cstheme="minorHAnsi"/>
                <w:b/>
                <w:bCs/>
                <w:sz w:val="20"/>
                <w:szCs w:val="20"/>
              </w:rPr>
            </w:pPr>
            <w:r w:rsidRPr="00B9213B">
              <w:rPr>
                <w:rFonts w:cstheme="minorHAnsi"/>
                <w:b/>
                <w:bCs/>
                <w:sz w:val="20"/>
                <w:szCs w:val="20"/>
              </w:rPr>
              <w:t>Uzasadnienie</w:t>
            </w:r>
          </w:p>
        </w:tc>
      </w:tr>
      <w:tr w:rsidR="00B9213B" w:rsidRPr="00B9213B" w14:paraId="6AFA7EB3" w14:textId="77777777" w:rsidTr="00B611E6">
        <w:tc>
          <w:tcPr>
            <w:tcW w:w="561" w:type="dxa"/>
            <w:vAlign w:val="center"/>
          </w:tcPr>
          <w:p w14:paraId="686E1CED" w14:textId="77777777" w:rsidR="00640A94" w:rsidRPr="00B9213B" w:rsidRDefault="00640A94" w:rsidP="00B9213B">
            <w:pPr>
              <w:pStyle w:val="Akapitzlist"/>
              <w:numPr>
                <w:ilvl w:val="0"/>
                <w:numId w:val="2"/>
              </w:numPr>
              <w:ind w:left="29" w:firstLine="0"/>
              <w:rPr>
                <w:rFonts w:cstheme="minorHAnsi"/>
                <w:sz w:val="20"/>
                <w:szCs w:val="20"/>
              </w:rPr>
            </w:pPr>
          </w:p>
        </w:tc>
        <w:tc>
          <w:tcPr>
            <w:tcW w:w="819" w:type="dxa"/>
            <w:vAlign w:val="center"/>
          </w:tcPr>
          <w:p w14:paraId="6358A19D" w14:textId="37FDE67B" w:rsidR="00640A94" w:rsidRPr="00B9213B" w:rsidRDefault="00640A94" w:rsidP="00B9213B">
            <w:pPr>
              <w:rPr>
                <w:rFonts w:cstheme="minorHAnsi"/>
                <w:sz w:val="20"/>
                <w:szCs w:val="20"/>
              </w:rPr>
            </w:pPr>
            <w:r w:rsidRPr="00B9213B">
              <w:rPr>
                <w:rFonts w:cstheme="minorHAnsi"/>
                <w:sz w:val="20"/>
                <w:szCs w:val="20"/>
              </w:rPr>
              <w:t>1-2</w:t>
            </w:r>
          </w:p>
        </w:tc>
        <w:tc>
          <w:tcPr>
            <w:tcW w:w="5419" w:type="dxa"/>
            <w:vAlign w:val="center"/>
          </w:tcPr>
          <w:p w14:paraId="5A3CE4FE" w14:textId="227FBB67" w:rsidR="00640A94" w:rsidRPr="00B9213B" w:rsidRDefault="00640A94" w:rsidP="00B9213B">
            <w:pPr>
              <w:rPr>
                <w:rFonts w:cstheme="minorHAnsi"/>
                <w:sz w:val="20"/>
                <w:szCs w:val="20"/>
              </w:rPr>
            </w:pPr>
            <w:r w:rsidRPr="00B9213B">
              <w:rPr>
                <w:rFonts w:cstheme="minorHAnsi"/>
                <w:sz w:val="20"/>
                <w:szCs w:val="20"/>
              </w:rPr>
              <w:t>Aktualizacja spisu treści.</w:t>
            </w:r>
          </w:p>
        </w:tc>
        <w:tc>
          <w:tcPr>
            <w:tcW w:w="2937" w:type="dxa"/>
            <w:vAlign w:val="center"/>
          </w:tcPr>
          <w:p w14:paraId="6D29BFC2" w14:textId="77777777" w:rsidR="00640A94" w:rsidRPr="00B9213B" w:rsidRDefault="00640A94" w:rsidP="00B9213B">
            <w:pPr>
              <w:rPr>
                <w:rFonts w:cstheme="minorHAnsi"/>
                <w:sz w:val="20"/>
                <w:szCs w:val="20"/>
              </w:rPr>
            </w:pPr>
          </w:p>
        </w:tc>
        <w:tc>
          <w:tcPr>
            <w:tcW w:w="1673" w:type="dxa"/>
            <w:vAlign w:val="center"/>
          </w:tcPr>
          <w:p w14:paraId="75AE6D5C" w14:textId="3BF06DDD" w:rsidR="00640A94" w:rsidRPr="00B9213B" w:rsidRDefault="00CF6807" w:rsidP="00B9213B">
            <w:pPr>
              <w:rPr>
                <w:rFonts w:cstheme="minorHAnsi"/>
                <w:sz w:val="20"/>
                <w:szCs w:val="20"/>
              </w:rPr>
            </w:pPr>
            <w:r w:rsidRPr="00B9213B">
              <w:rPr>
                <w:rFonts w:cstheme="minorHAnsi"/>
                <w:sz w:val="20"/>
                <w:szCs w:val="20"/>
              </w:rPr>
              <w:t xml:space="preserve">Poprawione </w:t>
            </w:r>
          </w:p>
        </w:tc>
        <w:tc>
          <w:tcPr>
            <w:tcW w:w="2149" w:type="dxa"/>
            <w:vAlign w:val="center"/>
          </w:tcPr>
          <w:p w14:paraId="3FA6543D" w14:textId="20247CA9" w:rsidR="00640A94" w:rsidRPr="00B9213B" w:rsidRDefault="006D2780" w:rsidP="00B9213B">
            <w:pPr>
              <w:rPr>
                <w:rFonts w:cstheme="minorHAnsi"/>
                <w:sz w:val="20"/>
                <w:szCs w:val="20"/>
              </w:rPr>
            </w:pPr>
            <w:r w:rsidRPr="00B9213B">
              <w:rPr>
                <w:rFonts w:cstheme="minorHAnsi"/>
                <w:sz w:val="20"/>
                <w:szCs w:val="20"/>
              </w:rPr>
              <w:t>Oczywisty błąd edycyjny</w:t>
            </w:r>
          </w:p>
        </w:tc>
      </w:tr>
      <w:tr w:rsidR="00B9213B" w:rsidRPr="00B9213B" w14:paraId="18B5A49B" w14:textId="77777777" w:rsidTr="00B611E6">
        <w:tc>
          <w:tcPr>
            <w:tcW w:w="561" w:type="dxa"/>
            <w:vAlign w:val="center"/>
          </w:tcPr>
          <w:p w14:paraId="26DB915D" w14:textId="77777777" w:rsidR="006D2780" w:rsidRPr="00B9213B" w:rsidRDefault="006D2780" w:rsidP="00B9213B">
            <w:pPr>
              <w:pStyle w:val="Akapitzlist"/>
              <w:numPr>
                <w:ilvl w:val="0"/>
                <w:numId w:val="2"/>
              </w:numPr>
              <w:ind w:left="29" w:firstLine="0"/>
              <w:rPr>
                <w:rFonts w:cstheme="minorHAnsi"/>
                <w:sz w:val="20"/>
                <w:szCs w:val="20"/>
              </w:rPr>
            </w:pPr>
          </w:p>
        </w:tc>
        <w:tc>
          <w:tcPr>
            <w:tcW w:w="819" w:type="dxa"/>
            <w:vAlign w:val="center"/>
          </w:tcPr>
          <w:p w14:paraId="50646BD5" w14:textId="1945132C" w:rsidR="006D2780" w:rsidRPr="00B9213B" w:rsidRDefault="006D2780" w:rsidP="00B9213B">
            <w:pPr>
              <w:rPr>
                <w:rFonts w:cstheme="minorHAnsi"/>
                <w:sz w:val="20"/>
                <w:szCs w:val="20"/>
              </w:rPr>
            </w:pPr>
            <w:r w:rsidRPr="00B9213B">
              <w:rPr>
                <w:rFonts w:cstheme="minorHAnsi"/>
                <w:sz w:val="20"/>
                <w:szCs w:val="20"/>
              </w:rPr>
              <w:t>3</w:t>
            </w:r>
          </w:p>
        </w:tc>
        <w:tc>
          <w:tcPr>
            <w:tcW w:w="5419" w:type="dxa"/>
            <w:vAlign w:val="center"/>
          </w:tcPr>
          <w:p w14:paraId="3789BC6C" w14:textId="09FD2DAB" w:rsidR="006D2780" w:rsidRPr="00B9213B" w:rsidRDefault="006D2780" w:rsidP="00B9213B">
            <w:pPr>
              <w:rPr>
                <w:rFonts w:cstheme="minorHAnsi"/>
                <w:sz w:val="20"/>
                <w:szCs w:val="20"/>
              </w:rPr>
            </w:pPr>
            <w:r w:rsidRPr="00B9213B">
              <w:rPr>
                <w:rFonts w:cstheme="minorHAnsi"/>
                <w:sz w:val="20"/>
                <w:szCs w:val="20"/>
              </w:rPr>
              <w:t>Poprawa literówki.</w:t>
            </w:r>
          </w:p>
        </w:tc>
        <w:tc>
          <w:tcPr>
            <w:tcW w:w="2937" w:type="dxa"/>
            <w:vAlign w:val="center"/>
          </w:tcPr>
          <w:p w14:paraId="3A0E403E" w14:textId="50CDB2D1" w:rsidR="006D2780" w:rsidRPr="00B9213B" w:rsidRDefault="006D2780" w:rsidP="00B9213B">
            <w:pPr>
              <w:rPr>
                <w:rFonts w:cstheme="minorHAnsi"/>
                <w:sz w:val="20"/>
                <w:szCs w:val="20"/>
              </w:rPr>
            </w:pPr>
            <w:r w:rsidRPr="00B9213B">
              <w:rPr>
                <w:rFonts w:cstheme="minorHAnsi"/>
                <w:sz w:val="20"/>
                <w:szCs w:val="20"/>
              </w:rPr>
              <w:t>Zwyczajowo przyjmuje się pisanie wyrazu „Internet” z dużej litery.</w:t>
            </w:r>
          </w:p>
        </w:tc>
        <w:tc>
          <w:tcPr>
            <w:tcW w:w="1673" w:type="dxa"/>
            <w:vAlign w:val="center"/>
          </w:tcPr>
          <w:p w14:paraId="4FC36F87" w14:textId="0AEF2765" w:rsidR="006D2780" w:rsidRPr="00B9213B" w:rsidRDefault="006D2780" w:rsidP="00B9213B">
            <w:pPr>
              <w:rPr>
                <w:rFonts w:cstheme="minorHAnsi"/>
                <w:sz w:val="20"/>
                <w:szCs w:val="20"/>
              </w:rPr>
            </w:pPr>
            <w:r w:rsidRPr="00B9213B">
              <w:rPr>
                <w:rFonts w:cstheme="minorHAnsi"/>
                <w:sz w:val="20"/>
                <w:szCs w:val="20"/>
              </w:rPr>
              <w:t xml:space="preserve">Poprawione </w:t>
            </w:r>
          </w:p>
        </w:tc>
        <w:tc>
          <w:tcPr>
            <w:tcW w:w="2149" w:type="dxa"/>
            <w:vAlign w:val="center"/>
          </w:tcPr>
          <w:p w14:paraId="179A6231" w14:textId="13C70272" w:rsidR="006D2780" w:rsidRPr="00B9213B" w:rsidRDefault="006D2780" w:rsidP="00B9213B">
            <w:pPr>
              <w:rPr>
                <w:rFonts w:cstheme="minorHAnsi"/>
                <w:sz w:val="20"/>
                <w:szCs w:val="20"/>
              </w:rPr>
            </w:pPr>
            <w:r w:rsidRPr="00B9213B">
              <w:rPr>
                <w:rFonts w:cstheme="minorHAnsi"/>
                <w:sz w:val="20"/>
                <w:szCs w:val="20"/>
              </w:rPr>
              <w:t>Oczywisty błąd edycyjny</w:t>
            </w:r>
          </w:p>
        </w:tc>
      </w:tr>
      <w:tr w:rsidR="00B9213B" w:rsidRPr="00B9213B" w14:paraId="4DCA90EC" w14:textId="77777777" w:rsidTr="00B611E6">
        <w:tc>
          <w:tcPr>
            <w:tcW w:w="561" w:type="dxa"/>
            <w:vAlign w:val="center"/>
          </w:tcPr>
          <w:p w14:paraId="0B7887A2" w14:textId="77777777" w:rsidR="006D2780" w:rsidRPr="00B9213B" w:rsidRDefault="006D2780" w:rsidP="00B9213B">
            <w:pPr>
              <w:pStyle w:val="Akapitzlist"/>
              <w:numPr>
                <w:ilvl w:val="0"/>
                <w:numId w:val="2"/>
              </w:numPr>
              <w:ind w:left="29" w:firstLine="0"/>
              <w:rPr>
                <w:rFonts w:cstheme="minorHAnsi"/>
                <w:sz w:val="20"/>
                <w:szCs w:val="20"/>
              </w:rPr>
            </w:pPr>
          </w:p>
        </w:tc>
        <w:tc>
          <w:tcPr>
            <w:tcW w:w="819" w:type="dxa"/>
            <w:vAlign w:val="center"/>
          </w:tcPr>
          <w:p w14:paraId="29F8039B" w14:textId="7E51D084" w:rsidR="006D2780" w:rsidRPr="00B9213B" w:rsidRDefault="006D2780" w:rsidP="00B9213B">
            <w:pPr>
              <w:rPr>
                <w:rFonts w:cstheme="minorHAnsi"/>
                <w:sz w:val="20"/>
                <w:szCs w:val="20"/>
              </w:rPr>
            </w:pPr>
            <w:r w:rsidRPr="00B9213B">
              <w:rPr>
                <w:rFonts w:cstheme="minorHAnsi"/>
                <w:sz w:val="20"/>
                <w:szCs w:val="20"/>
              </w:rPr>
              <w:t>5</w:t>
            </w:r>
          </w:p>
        </w:tc>
        <w:tc>
          <w:tcPr>
            <w:tcW w:w="5419" w:type="dxa"/>
            <w:vAlign w:val="center"/>
          </w:tcPr>
          <w:p w14:paraId="2AAF1C2A" w14:textId="23B95AEE" w:rsidR="006D2780" w:rsidRPr="00B9213B" w:rsidRDefault="006D2780" w:rsidP="00B9213B">
            <w:pPr>
              <w:rPr>
                <w:rFonts w:cstheme="minorHAnsi"/>
                <w:sz w:val="20"/>
                <w:szCs w:val="20"/>
              </w:rPr>
            </w:pPr>
            <w:r w:rsidRPr="00B9213B">
              <w:rPr>
                <w:rFonts w:cstheme="minorHAnsi"/>
                <w:sz w:val="20"/>
                <w:szCs w:val="20"/>
              </w:rPr>
              <w:t>Wartości na rysunku nr 3 nie są czytelne. Należy zwiększyć czcionkę.</w:t>
            </w:r>
          </w:p>
        </w:tc>
        <w:tc>
          <w:tcPr>
            <w:tcW w:w="2937" w:type="dxa"/>
            <w:vAlign w:val="center"/>
          </w:tcPr>
          <w:p w14:paraId="1AD83C58" w14:textId="77777777" w:rsidR="006D2780" w:rsidRPr="00B9213B" w:rsidRDefault="006D2780" w:rsidP="00B9213B">
            <w:pPr>
              <w:rPr>
                <w:rFonts w:cstheme="minorHAnsi"/>
                <w:sz w:val="20"/>
                <w:szCs w:val="20"/>
              </w:rPr>
            </w:pPr>
          </w:p>
        </w:tc>
        <w:tc>
          <w:tcPr>
            <w:tcW w:w="1673" w:type="dxa"/>
            <w:vAlign w:val="center"/>
          </w:tcPr>
          <w:p w14:paraId="748FC193" w14:textId="56780F39" w:rsidR="006D2780" w:rsidRPr="00B9213B" w:rsidRDefault="006D2780" w:rsidP="00B9213B">
            <w:pPr>
              <w:rPr>
                <w:rFonts w:cstheme="minorHAnsi"/>
                <w:sz w:val="20"/>
                <w:szCs w:val="20"/>
              </w:rPr>
            </w:pPr>
            <w:r w:rsidRPr="00B9213B">
              <w:rPr>
                <w:rFonts w:cstheme="minorHAnsi"/>
                <w:sz w:val="20"/>
                <w:szCs w:val="20"/>
              </w:rPr>
              <w:t xml:space="preserve">Poprawione </w:t>
            </w:r>
          </w:p>
        </w:tc>
        <w:tc>
          <w:tcPr>
            <w:tcW w:w="2149" w:type="dxa"/>
            <w:vAlign w:val="center"/>
          </w:tcPr>
          <w:p w14:paraId="4A021ACA" w14:textId="56ECD812" w:rsidR="006D2780" w:rsidRPr="00B9213B" w:rsidRDefault="006D2780" w:rsidP="00B9213B">
            <w:pPr>
              <w:rPr>
                <w:rFonts w:cstheme="minorHAnsi"/>
                <w:sz w:val="20"/>
                <w:szCs w:val="20"/>
              </w:rPr>
            </w:pPr>
            <w:r w:rsidRPr="00B9213B">
              <w:rPr>
                <w:rFonts w:cstheme="minorHAnsi"/>
                <w:sz w:val="20"/>
                <w:szCs w:val="20"/>
              </w:rPr>
              <w:t>Oczywisty błąd edycyjny</w:t>
            </w:r>
          </w:p>
        </w:tc>
      </w:tr>
      <w:tr w:rsidR="00B9213B" w:rsidRPr="00B9213B" w14:paraId="5640D1C2" w14:textId="77777777" w:rsidTr="00B611E6">
        <w:tc>
          <w:tcPr>
            <w:tcW w:w="561" w:type="dxa"/>
            <w:vAlign w:val="center"/>
          </w:tcPr>
          <w:p w14:paraId="6F2689E5" w14:textId="77777777" w:rsidR="006D2780" w:rsidRPr="00B9213B" w:rsidRDefault="006D2780" w:rsidP="00B9213B">
            <w:pPr>
              <w:pStyle w:val="Akapitzlist"/>
              <w:numPr>
                <w:ilvl w:val="0"/>
                <w:numId w:val="2"/>
              </w:numPr>
              <w:ind w:left="29" w:firstLine="0"/>
              <w:rPr>
                <w:rFonts w:cstheme="minorHAnsi"/>
                <w:sz w:val="20"/>
                <w:szCs w:val="20"/>
              </w:rPr>
            </w:pPr>
          </w:p>
        </w:tc>
        <w:tc>
          <w:tcPr>
            <w:tcW w:w="819" w:type="dxa"/>
            <w:vAlign w:val="center"/>
          </w:tcPr>
          <w:p w14:paraId="34850011" w14:textId="18E2236C" w:rsidR="006D2780" w:rsidRPr="00B9213B" w:rsidRDefault="006D2780" w:rsidP="00B9213B">
            <w:pPr>
              <w:rPr>
                <w:rFonts w:cstheme="minorHAnsi"/>
                <w:sz w:val="20"/>
                <w:szCs w:val="20"/>
              </w:rPr>
            </w:pPr>
            <w:r w:rsidRPr="00B9213B">
              <w:rPr>
                <w:rFonts w:cstheme="minorHAnsi"/>
                <w:sz w:val="20"/>
                <w:szCs w:val="20"/>
              </w:rPr>
              <w:t>11</w:t>
            </w:r>
          </w:p>
        </w:tc>
        <w:tc>
          <w:tcPr>
            <w:tcW w:w="5419" w:type="dxa"/>
            <w:vAlign w:val="center"/>
          </w:tcPr>
          <w:p w14:paraId="6D6058FA" w14:textId="36759A3C" w:rsidR="006D2780" w:rsidRPr="00B9213B" w:rsidRDefault="006D2780" w:rsidP="00B9213B">
            <w:pPr>
              <w:rPr>
                <w:rFonts w:cstheme="minorHAnsi"/>
                <w:sz w:val="20"/>
                <w:szCs w:val="20"/>
              </w:rPr>
            </w:pPr>
            <w:r w:rsidRPr="00B9213B">
              <w:rPr>
                <w:rFonts w:cstheme="minorHAnsi"/>
                <w:sz w:val="20"/>
                <w:szCs w:val="20"/>
              </w:rPr>
              <w:t>Miasto Kościan i Gmina Krobia opuszczają porozumienie międzygminne w sprawi schroniska w Gaju.</w:t>
            </w:r>
          </w:p>
        </w:tc>
        <w:tc>
          <w:tcPr>
            <w:tcW w:w="2937" w:type="dxa"/>
            <w:vAlign w:val="center"/>
          </w:tcPr>
          <w:p w14:paraId="24424FA1" w14:textId="58AACBE2" w:rsidR="006D2780" w:rsidRPr="00B9213B" w:rsidRDefault="006D2780" w:rsidP="00B9213B">
            <w:pPr>
              <w:rPr>
                <w:rFonts w:cstheme="minorHAnsi"/>
                <w:sz w:val="20"/>
                <w:szCs w:val="20"/>
              </w:rPr>
            </w:pPr>
            <w:r w:rsidRPr="00B9213B">
              <w:rPr>
                <w:rFonts w:cstheme="minorHAnsi"/>
                <w:sz w:val="20"/>
                <w:szCs w:val="20"/>
              </w:rPr>
              <w:t>Aktualizacja informacji.</w:t>
            </w:r>
          </w:p>
        </w:tc>
        <w:tc>
          <w:tcPr>
            <w:tcW w:w="1673" w:type="dxa"/>
            <w:vAlign w:val="center"/>
          </w:tcPr>
          <w:p w14:paraId="1EF5A10B" w14:textId="1C7DCD78" w:rsidR="006D2780" w:rsidRPr="00B9213B" w:rsidRDefault="005F77E7" w:rsidP="00B9213B">
            <w:pPr>
              <w:rPr>
                <w:rFonts w:cstheme="minorHAnsi"/>
                <w:sz w:val="20"/>
                <w:szCs w:val="20"/>
              </w:rPr>
            </w:pPr>
            <w:r w:rsidRPr="00B9213B">
              <w:rPr>
                <w:rFonts w:cstheme="minorHAnsi"/>
                <w:sz w:val="20"/>
                <w:szCs w:val="20"/>
              </w:rPr>
              <w:t>Uwzględniono w przypisie</w:t>
            </w:r>
          </w:p>
        </w:tc>
        <w:tc>
          <w:tcPr>
            <w:tcW w:w="2149" w:type="dxa"/>
            <w:vAlign w:val="center"/>
          </w:tcPr>
          <w:p w14:paraId="502FD665" w14:textId="0FFAA159" w:rsidR="006D2780" w:rsidRPr="00B9213B" w:rsidRDefault="005F77E7" w:rsidP="00B9213B">
            <w:pPr>
              <w:rPr>
                <w:rFonts w:cstheme="minorHAnsi"/>
                <w:sz w:val="20"/>
                <w:szCs w:val="20"/>
              </w:rPr>
            </w:pPr>
            <w:r w:rsidRPr="00B9213B">
              <w:rPr>
                <w:rFonts w:cstheme="minorHAnsi"/>
                <w:sz w:val="20"/>
                <w:szCs w:val="20"/>
              </w:rPr>
              <w:t>Informacja będzie miała znaczenie w okresie obowiązywania Strategii</w:t>
            </w:r>
          </w:p>
        </w:tc>
      </w:tr>
      <w:tr w:rsidR="006D2780" w:rsidRPr="00B9213B" w14:paraId="4B9F7B3C" w14:textId="77777777" w:rsidTr="00B611E6">
        <w:tc>
          <w:tcPr>
            <w:tcW w:w="561" w:type="dxa"/>
            <w:vAlign w:val="center"/>
          </w:tcPr>
          <w:p w14:paraId="0C824879" w14:textId="77777777" w:rsidR="006D2780" w:rsidRPr="00B9213B" w:rsidRDefault="006D2780" w:rsidP="00B9213B">
            <w:pPr>
              <w:pStyle w:val="Akapitzlist"/>
              <w:numPr>
                <w:ilvl w:val="0"/>
                <w:numId w:val="2"/>
              </w:numPr>
              <w:ind w:left="29" w:firstLine="0"/>
              <w:rPr>
                <w:rFonts w:cstheme="minorHAnsi"/>
                <w:sz w:val="20"/>
                <w:szCs w:val="20"/>
              </w:rPr>
            </w:pPr>
          </w:p>
        </w:tc>
        <w:tc>
          <w:tcPr>
            <w:tcW w:w="819" w:type="dxa"/>
            <w:vAlign w:val="center"/>
          </w:tcPr>
          <w:p w14:paraId="7D2309DE" w14:textId="404791BA" w:rsidR="006D2780" w:rsidRPr="00B9213B" w:rsidRDefault="006D2780" w:rsidP="00B9213B">
            <w:pPr>
              <w:rPr>
                <w:rFonts w:cstheme="minorHAnsi"/>
                <w:sz w:val="20"/>
                <w:szCs w:val="20"/>
              </w:rPr>
            </w:pPr>
            <w:r w:rsidRPr="00B9213B">
              <w:rPr>
                <w:rFonts w:cstheme="minorHAnsi"/>
                <w:sz w:val="20"/>
                <w:szCs w:val="20"/>
              </w:rPr>
              <w:t>13</w:t>
            </w:r>
          </w:p>
        </w:tc>
        <w:tc>
          <w:tcPr>
            <w:tcW w:w="5419" w:type="dxa"/>
            <w:vAlign w:val="center"/>
          </w:tcPr>
          <w:p w14:paraId="443E8787" w14:textId="14AE59C0" w:rsidR="006D2780" w:rsidRPr="00B9213B" w:rsidRDefault="006D2780" w:rsidP="00B9213B">
            <w:pPr>
              <w:rPr>
                <w:rFonts w:cstheme="minorHAnsi"/>
                <w:sz w:val="20"/>
                <w:szCs w:val="20"/>
              </w:rPr>
            </w:pPr>
            <w:r w:rsidRPr="00B9213B">
              <w:rPr>
                <w:rFonts w:cstheme="minorHAnsi"/>
                <w:sz w:val="20"/>
                <w:szCs w:val="20"/>
              </w:rPr>
              <w:t>Błędnie podano liczbę oddziałów przedszkolnych w szkołach podstawowych na terenach wiejskich. Powinno być 13 zamiast 6.</w:t>
            </w:r>
          </w:p>
        </w:tc>
        <w:tc>
          <w:tcPr>
            <w:tcW w:w="2937" w:type="dxa"/>
            <w:vAlign w:val="center"/>
          </w:tcPr>
          <w:p w14:paraId="2DE225E1" w14:textId="7FB5D1AB" w:rsidR="006D2780" w:rsidRPr="00B9213B" w:rsidRDefault="006D2780" w:rsidP="00B9213B">
            <w:pPr>
              <w:rPr>
                <w:rFonts w:cstheme="minorHAnsi"/>
                <w:sz w:val="20"/>
                <w:szCs w:val="20"/>
              </w:rPr>
            </w:pPr>
            <w:r w:rsidRPr="00B9213B">
              <w:rPr>
                <w:rFonts w:cstheme="minorHAnsi"/>
                <w:sz w:val="20"/>
                <w:szCs w:val="20"/>
              </w:rPr>
              <w:t>Numeracja stron w dokumencie nie pokrywa się ze spisem treści.</w:t>
            </w:r>
          </w:p>
        </w:tc>
        <w:tc>
          <w:tcPr>
            <w:tcW w:w="1673" w:type="dxa"/>
            <w:vAlign w:val="center"/>
          </w:tcPr>
          <w:p w14:paraId="57D3E86D" w14:textId="1D3049AB" w:rsidR="006D2780" w:rsidRPr="00B9213B" w:rsidRDefault="00BB0A9F" w:rsidP="00B9213B">
            <w:pPr>
              <w:rPr>
                <w:rFonts w:cstheme="minorHAnsi"/>
                <w:sz w:val="20"/>
                <w:szCs w:val="20"/>
              </w:rPr>
            </w:pPr>
            <w:r w:rsidRPr="00B9213B">
              <w:rPr>
                <w:rFonts w:cstheme="minorHAnsi"/>
                <w:sz w:val="20"/>
                <w:szCs w:val="20"/>
              </w:rPr>
              <w:t>Poprawione</w:t>
            </w:r>
          </w:p>
        </w:tc>
        <w:tc>
          <w:tcPr>
            <w:tcW w:w="2149" w:type="dxa"/>
            <w:vAlign w:val="center"/>
          </w:tcPr>
          <w:p w14:paraId="77888692" w14:textId="60CC5B97" w:rsidR="006D2780" w:rsidRPr="00B9213B" w:rsidRDefault="00BB0A9F" w:rsidP="00B9213B">
            <w:pPr>
              <w:rPr>
                <w:rFonts w:cstheme="minorHAnsi"/>
                <w:sz w:val="20"/>
                <w:szCs w:val="20"/>
              </w:rPr>
            </w:pPr>
            <w:r w:rsidRPr="00B9213B">
              <w:rPr>
                <w:rFonts w:cstheme="minorHAnsi"/>
                <w:sz w:val="20"/>
                <w:szCs w:val="20"/>
              </w:rPr>
              <w:t>Błąd pisarski</w:t>
            </w:r>
          </w:p>
        </w:tc>
      </w:tr>
      <w:tr w:rsidR="006D2780" w:rsidRPr="00B9213B" w14:paraId="099F0EA8" w14:textId="77777777" w:rsidTr="00B611E6">
        <w:tc>
          <w:tcPr>
            <w:tcW w:w="561" w:type="dxa"/>
            <w:vAlign w:val="center"/>
          </w:tcPr>
          <w:p w14:paraId="58EFE7FF" w14:textId="77777777" w:rsidR="006D2780" w:rsidRPr="00B9213B" w:rsidRDefault="006D2780" w:rsidP="00B9213B">
            <w:pPr>
              <w:pStyle w:val="Akapitzlist"/>
              <w:numPr>
                <w:ilvl w:val="0"/>
                <w:numId w:val="2"/>
              </w:numPr>
              <w:ind w:left="29" w:firstLine="0"/>
              <w:rPr>
                <w:rFonts w:cstheme="minorHAnsi"/>
                <w:sz w:val="20"/>
                <w:szCs w:val="20"/>
              </w:rPr>
            </w:pPr>
          </w:p>
        </w:tc>
        <w:tc>
          <w:tcPr>
            <w:tcW w:w="819" w:type="dxa"/>
            <w:vAlign w:val="center"/>
          </w:tcPr>
          <w:p w14:paraId="06A3F483" w14:textId="3601E8CC" w:rsidR="006D2780" w:rsidRPr="00B9213B" w:rsidRDefault="006D2780" w:rsidP="00B9213B">
            <w:pPr>
              <w:rPr>
                <w:rFonts w:cstheme="minorHAnsi"/>
                <w:sz w:val="20"/>
                <w:szCs w:val="20"/>
              </w:rPr>
            </w:pPr>
            <w:r w:rsidRPr="00B9213B">
              <w:rPr>
                <w:rFonts w:cstheme="minorHAnsi"/>
                <w:sz w:val="20"/>
                <w:szCs w:val="20"/>
              </w:rPr>
              <w:t>14</w:t>
            </w:r>
          </w:p>
        </w:tc>
        <w:tc>
          <w:tcPr>
            <w:tcW w:w="5419" w:type="dxa"/>
            <w:vAlign w:val="center"/>
          </w:tcPr>
          <w:p w14:paraId="5AE7F505" w14:textId="024CA292" w:rsidR="006D2780" w:rsidRPr="00B9213B" w:rsidRDefault="006D2780" w:rsidP="00B9213B">
            <w:pPr>
              <w:rPr>
                <w:rFonts w:cstheme="minorHAnsi"/>
                <w:sz w:val="20"/>
                <w:szCs w:val="20"/>
              </w:rPr>
            </w:pPr>
            <w:r w:rsidRPr="00B9213B">
              <w:rPr>
                <w:rFonts w:cstheme="minorHAnsi"/>
                <w:sz w:val="20"/>
                <w:szCs w:val="20"/>
              </w:rPr>
              <w:t>Weryfikacja danych na temat liczby przychodni.</w:t>
            </w:r>
          </w:p>
        </w:tc>
        <w:tc>
          <w:tcPr>
            <w:tcW w:w="2937" w:type="dxa"/>
            <w:vAlign w:val="center"/>
          </w:tcPr>
          <w:p w14:paraId="0FAF99D6" w14:textId="510560F4" w:rsidR="006D2780" w:rsidRPr="00B9213B" w:rsidRDefault="006D2780" w:rsidP="00B9213B">
            <w:pPr>
              <w:rPr>
                <w:rFonts w:cstheme="minorHAnsi"/>
                <w:sz w:val="20"/>
                <w:szCs w:val="20"/>
              </w:rPr>
            </w:pPr>
            <w:r w:rsidRPr="00B9213B">
              <w:rPr>
                <w:rFonts w:cstheme="minorHAnsi"/>
                <w:sz w:val="20"/>
                <w:szCs w:val="20"/>
              </w:rPr>
              <w:t>Wątpliwości budzi wysoka liczba przychodni zlokalizowanych na terenie gminy Śrem.</w:t>
            </w:r>
          </w:p>
        </w:tc>
        <w:tc>
          <w:tcPr>
            <w:tcW w:w="1673" w:type="dxa"/>
            <w:vAlign w:val="center"/>
          </w:tcPr>
          <w:p w14:paraId="5EAD5220" w14:textId="702A65FC" w:rsidR="006D2780" w:rsidRPr="00B9213B" w:rsidRDefault="001750BE" w:rsidP="00B9213B">
            <w:pPr>
              <w:rPr>
                <w:rFonts w:cstheme="minorHAnsi"/>
                <w:sz w:val="20"/>
                <w:szCs w:val="20"/>
              </w:rPr>
            </w:pPr>
            <w:r w:rsidRPr="00B9213B">
              <w:rPr>
                <w:rFonts w:cstheme="minorHAnsi"/>
                <w:sz w:val="20"/>
                <w:szCs w:val="20"/>
              </w:rPr>
              <w:t>Usunięto zapis</w:t>
            </w:r>
          </w:p>
        </w:tc>
        <w:tc>
          <w:tcPr>
            <w:tcW w:w="2149" w:type="dxa"/>
            <w:vAlign w:val="center"/>
          </w:tcPr>
          <w:p w14:paraId="3A3475FC" w14:textId="0CB11B2C" w:rsidR="006D2780" w:rsidRPr="00B9213B" w:rsidRDefault="001750BE" w:rsidP="00B9213B">
            <w:pPr>
              <w:rPr>
                <w:rFonts w:cstheme="minorHAnsi"/>
                <w:sz w:val="20"/>
                <w:szCs w:val="20"/>
              </w:rPr>
            </w:pPr>
            <w:r w:rsidRPr="00B9213B">
              <w:rPr>
                <w:rFonts w:cstheme="minorHAnsi"/>
                <w:sz w:val="20"/>
                <w:szCs w:val="20"/>
              </w:rPr>
              <w:t>Ze względu na dynamiczny charakter tego wskaźnika usunięta została informacja o liczbie przychodni, jako nieistotna. Pozostały dane statystyczne dotyczące liczby porad medycznych</w:t>
            </w:r>
          </w:p>
        </w:tc>
      </w:tr>
      <w:tr w:rsidR="006D2780" w:rsidRPr="00B9213B" w14:paraId="4E2FBFD8" w14:textId="77777777" w:rsidTr="00B611E6">
        <w:tc>
          <w:tcPr>
            <w:tcW w:w="561" w:type="dxa"/>
            <w:vAlign w:val="center"/>
          </w:tcPr>
          <w:p w14:paraId="75F36CAB" w14:textId="77777777" w:rsidR="006D2780" w:rsidRPr="00B9213B" w:rsidRDefault="006D2780" w:rsidP="00B9213B">
            <w:pPr>
              <w:pStyle w:val="Akapitzlist"/>
              <w:numPr>
                <w:ilvl w:val="0"/>
                <w:numId w:val="2"/>
              </w:numPr>
              <w:ind w:left="29" w:firstLine="0"/>
              <w:rPr>
                <w:rFonts w:cstheme="minorHAnsi"/>
                <w:sz w:val="20"/>
                <w:szCs w:val="20"/>
              </w:rPr>
            </w:pPr>
          </w:p>
        </w:tc>
        <w:tc>
          <w:tcPr>
            <w:tcW w:w="819" w:type="dxa"/>
            <w:vAlign w:val="center"/>
          </w:tcPr>
          <w:p w14:paraId="169CC566" w14:textId="76DFDA79" w:rsidR="006D2780" w:rsidRPr="00B9213B" w:rsidRDefault="006D2780" w:rsidP="00B9213B">
            <w:pPr>
              <w:rPr>
                <w:rFonts w:cstheme="minorHAnsi"/>
                <w:sz w:val="20"/>
                <w:szCs w:val="20"/>
              </w:rPr>
            </w:pPr>
            <w:r w:rsidRPr="00B9213B">
              <w:rPr>
                <w:rFonts w:cstheme="minorHAnsi"/>
                <w:sz w:val="20"/>
                <w:szCs w:val="20"/>
              </w:rPr>
              <w:t>22</w:t>
            </w:r>
          </w:p>
        </w:tc>
        <w:tc>
          <w:tcPr>
            <w:tcW w:w="5419" w:type="dxa"/>
            <w:vAlign w:val="center"/>
          </w:tcPr>
          <w:p w14:paraId="174D957A" w14:textId="04CD4A46" w:rsidR="006D2780" w:rsidRPr="00B9213B" w:rsidRDefault="006D2780" w:rsidP="00B9213B">
            <w:pPr>
              <w:rPr>
                <w:rFonts w:cstheme="minorHAnsi"/>
                <w:sz w:val="20"/>
                <w:szCs w:val="20"/>
              </w:rPr>
            </w:pPr>
            <w:r w:rsidRPr="00B9213B">
              <w:rPr>
                <w:rFonts w:cstheme="minorHAnsi"/>
                <w:sz w:val="20"/>
                <w:szCs w:val="20"/>
              </w:rPr>
              <w:t>Proponuję rozszerzenie opis pozyskiwania środków unijnych przez Gminę, ponieważ jest bardzo aktywna na tym polu oraz ewentualną aktualizację danych.</w:t>
            </w:r>
          </w:p>
        </w:tc>
        <w:tc>
          <w:tcPr>
            <w:tcW w:w="2937" w:type="dxa"/>
            <w:vAlign w:val="center"/>
          </w:tcPr>
          <w:p w14:paraId="166C1E5F" w14:textId="52A70BB6" w:rsidR="006D2780" w:rsidRPr="00B9213B" w:rsidRDefault="006D2780" w:rsidP="00B9213B">
            <w:pPr>
              <w:rPr>
                <w:rFonts w:cstheme="minorHAnsi"/>
                <w:sz w:val="20"/>
                <w:szCs w:val="20"/>
              </w:rPr>
            </w:pPr>
            <w:r w:rsidRPr="00B9213B">
              <w:rPr>
                <w:rFonts w:cstheme="minorHAnsi"/>
                <w:sz w:val="20"/>
                <w:szCs w:val="20"/>
              </w:rPr>
              <w:t>Środki unijne są ważne w kontekście realizowania różnych projektów gminnych.</w:t>
            </w:r>
          </w:p>
        </w:tc>
        <w:tc>
          <w:tcPr>
            <w:tcW w:w="1673" w:type="dxa"/>
            <w:vAlign w:val="center"/>
          </w:tcPr>
          <w:p w14:paraId="4CD5ED11" w14:textId="793EA095" w:rsidR="006D2780" w:rsidRPr="00B9213B" w:rsidRDefault="00B64823" w:rsidP="00B9213B">
            <w:pPr>
              <w:rPr>
                <w:rFonts w:cstheme="minorHAnsi"/>
                <w:sz w:val="20"/>
                <w:szCs w:val="20"/>
              </w:rPr>
            </w:pPr>
            <w:r w:rsidRPr="00B9213B">
              <w:rPr>
                <w:rFonts w:cstheme="minorHAnsi"/>
                <w:sz w:val="20"/>
                <w:szCs w:val="20"/>
              </w:rPr>
              <w:t>Zmodyfikowano zapis</w:t>
            </w:r>
          </w:p>
        </w:tc>
        <w:tc>
          <w:tcPr>
            <w:tcW w:w="2149" w:type="dxa"/>
            <w:vAlign w:val="center"/>
          </w:tcPr>
          <w:p w14:paraId="45F474C0" w14:textId="346D56A7" w:rsidR="006D2780" w:rsidRPr="00B9213B" w:rsidRDefault="00B64823" w:rsidP="00B9213B">
            <w:pPr>
              <w:rPr>
                <w:rFonts w:cstheme="minorHAnsi"/>
                <w:sz w:val="20"/>
                <w:szCs w:val="20"/>
              </w:rPr>
            </w:pPr>
            <w:r w:rsidRPr="00B9213B">
              <w:rPr>
                <w:rFonts w:cstheme="minorHAnsi"/>
                <w:sz w:val="20"/>
                <w:szCs w:val="20"/>
              </w:rPr>
              <w:t>Zapis został rozszerzony i uszczegółowiony</w:t>
            </w:r>
          </w:p>
        </w:tc>
      </w:tr>
      <w:tr w:rsidR="00C25CA4" w:rsidRPr="00B9213B" w14:paraId="3A14F679" w14:textId="77777777" w:rsidTr="00B611E6">
        <w:tc>
          <w:tcPr>
            <w:tcW w:w="561" w:type="dxa"/>
            <w:vAlign w:val="center"/>
          </w:tcPr>
          <w:p w14:paraId="5309F36E" w14:textId="77777777" w:rsidR="00C25CA4" w:rsidRPr="00B9213B" w:rsidRDefault="00C25CA4" w:rsidP="00B9213B">
            <w:pPr>
              <w:pStyle w:val="Akapitzlist"/>
              <w:numPr>
                <w:ilvl w:val="0"/>
                <w:numId w:val="2"/>
              </w:numPr>
              <w:ind w:left="29" w:firstLine="0"/>
              <w:rPr>
                <w:rFonts w:cstheme="minorHAnsi"/>
                <w:sz w:val="20"/>
                <w:szCs w:val="20"/>
              </w:rPr>
            </w:pPr>
          </w:p>
        </w:tc>
        <w:tc>
          <w:tcPr>
            <w:tcW w:w="819" w:type="dxa"/>
            <w:vAlign w:val="center"/>
          </w:tcPr>
          <w:p w14:paraId="3FCC9B74" w14:textId="5140657C" w:rsidR="00C25CA4" w:rsidRPr="00B9213B" w:rsidRDefault="00C25CA4" w:rsidP="00B9213B">
            <w:pPr>
              <w:rPr>
                <w:rFonts w:cstheme="minorHAnsi"/>
                <w:sz w:val="20"/>
                <w:szCs w:val="20"/>
              </w:rPr>
            </w:pPr>
            <w:r w:rsidRPr="00B9213B">
              <w:rPr>
                <w:rFonts w:cstheme="minorHAnsi"/>
                <w:sz w:val="20"/>
                <w:szCs w:val="20"/>
              </w:rPr>
              <w:t>23</w:t>
            </w:r>
          </w:p>
        </w:tc>
        <w:tc>
          <w:tcPr>
            <w:tcW w:w="5419" w:type="dxa"/>
            <w:vAlign w:val="center"/>
          </w:tcPr>
          <w:p w14:paraId="27747879" w14:textId="2E82249C" w:rsidR="00C25CA4" w:rsidRPr="00B9213B" w:rsidRDefault="00C25CA4" w:rsidP="00B9213B">
            <w:pPr>
              <w:rPr>
                <w:rFonts w:cstheme="minorHAnsi"/>
                <w:sz w:val="20"/>
                <w:szCs w:val="20"/>
              </w:rPr>
            </w:pPr>
            <w:r w:rsidRPr="00B9213B">
              <w:rPr>
                <w:rFonts w:cstheme="minorHAnsi"/>
                <w:sz w:val="20"/>
                <w:szCs w:val="20"/>
              </w:rPr>
              <w:t>Wykres na stronie 23 nie posiada opisu – tytuł, źródło danych.</w:t>
            </w:r>
          </w:p>
        </w:tc>
        <w:tc>
          <w:tcPr>
            <w:tcW w:w="2937" w:type="dxa"/>
            <w:vAlign w:val="center"/>
          </w:tcPr>
          <w:p w14:paraId="3A3E90CD" w14:textId="77777777" w:rsidR="00C25CA4" w:rsidRPr="00B9213B" w:rsidRDefault="00C25CA4" w:rsidP="00B9213B">
            <w:pPr>
              <w:rPr>
                <w:rFonts w:cstheme="minorHAnsi"/>
                <w:sz w:val="20"/>
                <w:szCs w:val="20"/>
              </w:rPr>
            </w:pPr>
          </w:p>
        </w:tc>
        <w:tc>
          <w:tcPr>
            <w:tcW w:w="1673" w:type="dxa"/>
            <w:vAlign w:val="center"/>
          </w:tcPr>
          <w:p w14:paraId="0D45CFF5" w14:textId="227BDA6F" w:rsidR="00C25CA4" w:rsidRPr="00B9213B" w:rsidRDefault="00C25CA4" w:rsidP="00B9213B">
            <w:pPr>
              <w:rPr>
                <w:rFonts w:cstheme="minorHAnsi"/>
                <w:sz w:val="20"/>
                <w:szCs w:val="20"/>
              </w:rPr>
            </w:pPr>
            <w:r w:rsidRPr="00B9213B">
              <w:rPr>
                <w:rFonts w:cstheme="minorHAnsi"/>
                <w:sz w:val="20"/>
                <w:szCs w:val="20"/>
              </w:rPr>
              <w:t xml:space="preserve">Poprawione </w:t>
            </w:r>
          </w:p>
        </w:tc>
        <w:tc>
          <w:tcPr>
            <w:tcW w:w="2149" w:type="dxa"/>
            <w:vAlign w:val="center"/>
          </w:tcPr>
          <w:p w14:paraId="4A47A86B" w14:textId="0477A853" w:rsidR="00C25CA4" w:rsidRPr="00B9213B" w:rsidRDefault="00C25CA4" w:rsidP="00B9213B">
            <w:pPr>
              <w:rPr>
                <w:rFonts w:cstheme="minorHAnsi"/>
                <w:sz w:val="20"/>
                <w:szCs w:val="20"/>
              </w:rPr>
            </w:pPr>
            <w:r w:rsidRPr="00B9213B">
              <w:rPr>
                <w:rFonts w:cstheme="minorHAnsi"/>
                <w:sz w:val="20"/>
                <w:szCs w:val="20"/>
              </w:rPr>
              <w:t>Oczywisty błąd edycyjny</w:t>
            </w:r>
          </w:p>
        </w:tc>
      </w:tr>
      <w:tr w:rsidR="00C25CA4" w:rsidRPr="00B9213B" w14:paraId="1AF1B2F4" w14:textId="77777777" w:rsidTr="00B611E6">
        <w:tc>
          <w:tcPr>
            <w:tcW w:w="561" w:type="dxa"/>
            <w:vAlign w:val="center"/>
          </w:tcPr>
          <w:p w14:paraId="17CF662F" w14:textId="77777777" w:rsidR="00C25CA4" w:rsidRPr="00B9213B" w:rsidRDefault="00C25CA4" w:rsidP="00B9213B">
            <w:pPr>
              <w:pStyle w:val="Akapitzlist"/>
              <w:numPr>
                <w:ilvl w:val="0"/>
                <w:numId w:val="2"/>
              </w:numPr>
              <w:ind w:left="29" w:firstLine="0"/>
              <w:rPr>
                <w:rFonts w:cstheme="minorHAnsi"/>
                <w:sz w:val="20"/>
                <w:szCs w:val="20"/>
              </w:rPr>
            </w:pPr>
          </w:p>
        </w:tc>
        <w:tc>
          <w:tcPr>
            <w:tcW w:w="819" w:type="dxa"/>
            <w:vAlign w:val="center"/>
          </w:tcPr>
          <w:p w14:paraId="0A8FE774" w14:textId="456B098A" w:rsidR="00C25CA4" w:rsidRPr="00B9213B" w:rsidRDefault="00C25CA4" w:rsidP="00B9213B">
            <w:pPr>
              <w:rPr>
                <w:rFonts w:cstheme="minorHAnsi"/>
                <w:sz w:val="20"/>
                <w:szCs w:val="20"/>
              </w:rPr>
            </w:pPr>
            <w:r w:rsidRPr="00B9213B">
              <w:rPr>
                <w:rFonts w:cstheme="minorHAnsi"/>
                <w:sz w:val="20"/>
                <w:szCs w:val="20"/>
              </w:rPr>
              <w:t>26</w:t>
            </w:r>
          </w:p>
        </w:tc>
        <w:tc>
          <w:tcPr>
            <w:tcW w:w="5419" w:type="dxa"/>
            <w:vAlign w:val="center"/>
          </w:tcPr>
          <w:p w14:paraId="4DAF0077" w14:textId="3659D73D" w:rsidR="00C25CA4" w:rsidRPr="00B9213B" w:rsidRDefault="00C25CA4" w:rsidP="00B9213B">
            <w:pPr>
              <w:rPr>
                <w:rFonts w:cstheme="minorHAnsi"/>
                <w:sz w:val="20"/>
                <w:szCs w:val="20"/>
              </w:rPr>
            </w:pPr>
            <w:r w:rsidRPr="00B9213B">
              <w:rPr>
                <w:rFonts w:cstheme="minorHAnsi"/>
                <w:sz w:val="20"/>
                <w:szCs w:val="20"/>
              </w:rPr>
              <w:t>Przeredagowanie ostatniego akapitu.</w:t>
            </w:r>
          </w:p>
        </w:tc>
        <w:tc>
          <w:tcPr>
            <w:tcW w:w="2937" w:type="dxa"/>
            <w:vAlign w:val="center"/>
          </w:tcPr>
          <w:p w14:paraId="4DB1BF54" w14:textId="2FA30C6A" w:rsidR="00C25CA4" w:rsidRPr="00B9213B" w:rsidRDefault="00C25CA4" w:rsidP="00B9213B">
            <w:pPr>
              <w:rPr>
                <w:rFonts w:cstheme="minorHAnsi"/>
                <w:sz w:val="20"/>
                <w:szCs w:val="20"/>
              </w:rPr>
            </w:pPr>
            <w:r w:rsidRPr="00B9213B">
              <w:rPr>
                <w:rFonts w:cstheme="minorHAnsi"/>
                <w:sz w:val="20"/>
                <w:szCs w:val="20"/>
              </w:rPr>
              <w:t>Proponuję przenieść ostatnie zdanie wcześniej, przed nawias (Rysunek 27). Tutaj sprawia wrażenie oderwane od kontekstu.</w:t>
            </w:r>
          </w:p>
        </w:tc>
        <w:tc>
          <w:tcPr>
            <w:tcW w:w="1673" w:type="dxa"/>
            <w:vAlign w:val="center"/>
          </w:tcPr>
          <w:p w14:paraId="3705DB26" w14:textId="75B3378B" w:rsidR="00C25CA4" w:rsidRPr="00B9213B" w:rsidRDefault="002A6CA0" w:rsidP="00B9213B">
            <w:pPr>
              <w:rPr>
                <w:rFonts w:cstheme="minorHAnsi"/>
                <w:sz w:val="20"/>
                <w:szCs w:val="20"/>
              </w:rPr>
            </w:pPr>
            <w:r w:rsidRPr="00B9213B">
              <w:rPr>
                <w:rFonts w:cstheme="minorHAnsi"/>
                <w:sz w:val="20"/>
                <w:szCs w:val="20"/>
              </w:rPr>
              <w:t>Poprawione</w:t>
            </w:r>
          </w:p>
        </w:tc>
        <w:tc>
          <w:tcPr>
            <w:tcW w:w="2149" w:type="dxa"/>
            <w:vAlign w:val="center"/>
          </w:tcPr>
          <w:p w14:paraId="76B50E47" w14:textId="6245CD49" w:rsidR="00C25CA4" w:rsidRPr="00B9213B" w:rsidRDefault="002A6CA0" w:rsidP="00B9213B">
            <w:pPr>
              <w:rPr>
                <w:rFonts w:cstheme="minorHAnsi"/>
                <w:sz w:val="20"/>
                <w:szCs w:val="20"/>
              </w:rPr>
            </w:pPr>
            <w:r w:rsidRPr="00B9213B">
              <w:rPr>
                <w:rFonts w:cstheme="minorHAnsi"/>
                <w:sz w:val="20"/>
                <w:szCs w:val="20"/>
              </w:rPr>
              <w:t>Błąd redakcyjny</w:t>
            </w:r>
          </w:p>
        </w:tc>
      </w:tr>
      <w:tr w:rsidR="00C25CA4" w:rsidRPr="00B9213B" w14:paraId="03C1E930" w14:textId="77777777" w:rsidTr="00B611E6">
        <w:tc>
          <w:tcPr>
            <w:tcW w:w="561" w:type="dxa"/>
            <w:vAlign w:val="center"/>
          </w:tcPr>
          <w:p w14:paraId="35915929" w14:textId="77777777" w:rsidR="00C25CA4" w:rsidRPr="00B9213B" w:rsidRDefault="00C25CA4" w:rsidP="00B9213B">
            <w:pPr>
              <w:pStyle w:val="Akapitzlist"/>
              <w:numPr>
                <w:ilvl w:val="0"/>
                <w:numId w:val="2"/>
              </w:numPr>
              <w:ind w:left="29" w:firstLine="0"/>
              <w:rPr>
                <w:rFonts w:cstheme="minorHAnsi"/>
                <w:sz w:val="20"/>
                <w:szCs w:val="20"/>
              </w:rPr>
            </w:pPr>
          </w:p>
        </w:tc>
        <w:tc>
          <w:tcPr>
            <w:tcW w:w="819" w:type="dxa"/>
            <w:vAlign w:val="center"/>
          </w:tcPr>
          <w:p w14:paraId="2416370A" w14:textId="6AF75D02" w:rsidR="00C25CA4" w:rsidRPr="00B9213B" w:rsidRDefault="00C25CA4" w:rsidP="00B9213B">
            <w:pPr>
              <w:rPr>
                <w:rFonts w:cstheme="minorHAnsi"/>
                <w:sz w:val="20"/>
                <w:szCs w:val="20"/>
              </w:rPr>
            </w:pPr>
            <w:r w:rsidRPr="00B9213B">
              <w:rPr>
                <w:rFonts w:cstheme="minorHAnsi"/>
                <w:sz w:val="20"/>
                <w:szCs w:val="20"/>
              </w:rPr>
              <w:t>35-36</w:t>
            </w:r>
          </w:p>
        </w:tc>
        <w:tc>
          <w:tcPr>
            <w:tcW w:w="5419" w:type="dxa"/>
            <w:vAlign w:val="center"/>
          </w:tcPr>
          <w:p w14:paraId="034A3681" w14:textId="2EB8187A" w:rsidR="00C25CA4" w:rsidRPr="00B9213B" w:rsidRDefault="00C25CA4" w:rsidP="00B9213B">
            <w:pPr>
              <w:rPr>
                <w:rFonts w:cstheme="minorHAnsi"/>
                <w:sz w:val="20"/>
                <w:szCs w:val="20"/>
              </w:rPr>
            </w:pPr>
            <w:r w:rsidRPr="00B9213B">
              <w:rPr>
                <w:rFonts w:cstheme="minorHAnsi"/>
                <w:sz w:val="20"/>
                <w:szCs w:val="20"/>
              </w:rPr>
              <w:t xml:space="preserve">Dopisanie kluczowego kierunku interwencji zwiększenie dostępności gminy Śrem dla osób z niepełnosprawnościami </w:t>
            </w:r>
          </w:p>
        </w:tc>
        <w:tc>
          <w:tcPr>
            <w:tcW w:w="2937" w:type="dxa"/>
            <w:vAlign w:val="center"/>
          </w:tcPr>
          <w:p w14:paraId="5119AB5C" w14:textId="678FD8CF" w:rsidR="00C25CA4" w:rsidRPr="00B9213B" w:rsidRDefault="00C25CA4" w:rsidP="00B9213B">
            <w:pPr>
              <w:rPr>
                <w:rFonts w:cstheme="minorHAnsi"/>
                <w:sz w:val="20"/>
                <w:szCs w:val="20"/>
              </w:rPr>
            </w:pPr>
            <w:r w:rsidRPr="00B9213B">
              <w:rPr>
                <w:rFonts w:cstheme="minorHAnsi"/>
                <w:sz w:val="20"/>
                <w:szCs w:val="20"/>
              </w:rPr>
              <w:t>Liczba seniorów oraz osób z niepełnosprawnościami stale zwiększa się. Dostępność powinna być kluczowym kierunkiem działań Gminy.</w:t>
            </w:r>
          </w:p>
        </w:tc>
        <w:tc>
          <w:tcPr>
            <w:tcW w:w="1673" w:type="dxa"/>
            <w:vAlign w:val="center"/>
          </w:tcPr>
          <w:p w14:paraId="60CFC09D" w14:textId="689D7DAB" w:rsidR="00C25CA4" w:rsidRPr="00B9213B" w:rsidRDefault="00352015" w:rsidP="00B9213B">
            <w:pPr>
              <w:rPr>
                <w:rFonts w:cstheme="minorHAnsi"/>
                <w:sz w:val="20"/>
                <w:szCs w:val="20"/>
              </w:rPr>
            </w:pPr>
            <w:r w:rsidRPr="00B9213B">
              <w:rPr>
                <w:rFonts w:cstheme="minorHAnsi"/>
                <w:sz w:val="20"/>
                <w:szCs w:val="20"/>
              </w:rPr>
              <w:t>Uzupełniono</w:t>
            </w:r>
          </w:p>
        </w:tc>
        <w:tc>
          <w:tcPr>
            <w:tcW w:w="2149" w:type="dxa"/>
            <w:vAlign w:val="center"/>
          </w:tcPr>
          <w:p w14:paraId="1D1D2FDD" w14:textId="78F04772" w:rsidR="00C25CA4" w:rsidRPr="00B9213B" w:rsidRDefault="00D40660" w:rsidP="00B9213B">
            <w:pPr>
              <w:rPr>
                <w:rFonts w:cstheme="minorHAnsi"/>
                <w:sz w:val="20"/>
                <w:szCs w:val="20"/>
              </w:rPr>
            </w:pPr>
            <w:r w:rsidRPr="00B9213B">
              <w:rPr>
                <w:rFonts w:cstheme="minorHAnsi"/>
                <w:sz w:val="20"/>
                <w:szCs w:val="20"/>
              </w:rPr>
              <w:t>Dostępność jest istotnym kierunkiem działania i rozwoju Gminy</w:t>
            </w:r>
          </w:p>
        </w:tc>
      </w:tr>
      <w:tr w:rsidR="00352015" w:rsidRPr="00B9213B" w14:paraId="58590128" w14:textId="77777777" w:rsidTr="00B611E6">
        <w:tc>
          <w:tcPr>
            <w:tcW w:w="561" w:type="dxa"/>
            <w:vAlign w:val="center"/>
          </w:tcPr>
          <w:p w14:paraId="54BEBF53" w14:textId="77777777" w:rsidR="00352015" w:rsidRPr="00B9213B" w:rsidRDefault="00352015" w:rsidP="00B9213B">
            <w:pPr>
              <w:pStyle w:val="Akapitzlist"/>
              <w:numPr>
                <w:ilvl w:val="0"/>
                <w:numId w:val="2"/>
              </w:numPr>
              <w:ind w:left="29" w:firstLine="0"/>
              <w:rPr>
                <w:rFonts w:cstheme="minorHAnsi"/>
                <w:sz w:val="20"/>
                <w:szCs w:val="20"/>
              </w:rPr>
            </w:pPr>
          </w:p>
        </w:tc>
        <w:tc>
          <w:tcPr>
            <w:tcW w:w="819" w:type="dxa"/>
            <w:vAlign w:val="center"/>
          </w:tcPr>
          <w:p w14:paraId="34BEAF64" w14:textId="698E51FE" w:rsidR="00352015" w:rsidRPr="00B9213B" w:rsidRDefault="00352015" w:rsidP="00B9213B">
            <w:pPr>
              <w:rPr>
                <w:rFonts w:cstheme="minorHAnsi"/>
                <w:sz w:val="20"/>
                <w:szCs w:val="20"/>
              </w:rPr>
            </w:pPr>
            <w:r w:rsidRPr="00B9213B">
              <w:rPr>
                <w:rFonts w:cstheme="minorHAnsi"/>
                <w:sz w:val="20"/>
                <w:szCs w:val="20"/>
              </w:rPr>
              <w:t>36</w:t>
            </w:r>
          </w:p>
        </w:tc>
        <w:tc>
          <w:tcPr>
            <w:tcW w:w="5419" w:type="dxa"/>
            <w:vAlign w:val="center"/>
          </w:tcPr>
          <w:p w14:paraId="125B59CF" w14:textId="13EC5DC9" w:rsidR="00352015" w:rsidRPr="00B9213B" w:rsidRDefault="00352015" w:rsidP="00B9213B">
            <w:pPr>
              <w:rPr>
                <w:rFonts w:cstheme="minorHAnsi"/>
                <w:sz w:val="20"/>
                <w:szCs w:val="20"/>
              </w:rPr>
            </w:pPr>
            <w:r w:rsidRPr="00B9213B">
              <w:rPr>
                <w:rFonts w:cstheme="minorHAnsi"/>
                <w:sz w:val="20"/>
                <w:szCs w:val="20"/>
              </w:rPr>
              <w:t>Literówka – powinno być Pyszącej zamiast Pyrzącej.</w:t>
            </w:r>
          </w:p>
        </w:tc>
        <w:tc>
          <w:tcPr>
            <w:tcW w:w="2937" w:type="dxa"/>
            <w:vAlign w:val="center"/>
          </w:tcPr>
          <w:p w14:paraId="559122CE" w14:textId="77777777" w:rsidR="00352015" w:rsidRPr="00B9213B" w:rsidRDefault="00352015" w:rsidP="00B9213B">
            <w:pPr>
              <w:rPr>
                <w:rFonts w:cstheme="minorHAnsi"/>
                <w:sz w:val="20"/>
                <w:szCs w:val="20"/>
              </w:rPr>
            </w:pPr>
          </w:p>
        </w:tc>
        <w:tc>
          <w:tcPr>
            <w:tcW w:w="1673" w:type="dxa"/>
            <w:vAlign w:val="center"/>
          </w:tcPr>
          <w:p w14:paraId="3BF1130D" w14:textId="0E452C0C" w:rsidR="00352015" w:rsidRPr="00B9213B" w:rsidRDefault="00352015" w:rsidP="00B9213B">
            <w:pPr>
              <w:rPr>
                <w:rFonts w:cstheme="minorHAnsi"/>
                <w:sz w:val="20"/>
                <w:szCs w:val="20"/>
              </w:rPr>
            </w:pPr>
            <w:r w:rsidRPr="00B9213B">
              <w:rPr>
                <w:rFonts w:cstheme="minorHAnsi"/>
                <w:sz w:val="20"/>
                <w:szCs w:val="20"/>
              </w:rPr>
              <w:t xml:space="preserve">Poprawione </w:t>
            </w:r>
          </w:p>
        </w:tc>
        <w:tc>
          <w:tcPr>
            <w:tcW w:w="2149" w:type="dxa"/>
            <w:vAlign w:val="center"/>
          </w:tcPr>
          <w:p w14:paraId="2A74A7E0" w14:textId="0EB7710C" w:rsidR="00352015" w:rsidRPr="00B9213B" w:rsidRDefault="00352015" w:rsidP="00B9213B">
            <w:pPr>
              <w:rPr>
                <w:rFonts w:cstheme="minorHAnsi"/>
                <w:sz w:val="20"/>
                <w:szCs w:val="20"/>
              </w:rPr>
            </w:pPr>
            <w:r w:rsidRPr="00B9213B">
              <w:rPr>
                <w:rFonts w:cstheme="minorHAnsi"/>
                <w:sz w:val="20"/>
                <w:szCs w:val="20"/>
              </w:rPr>
              <w:t>Oczywisty błąd edycyjny</w:t>
            </w:r>
          </w:p>
        </w:tc>
      </w:tr>
      <w:tr w:rsidR="00352015" w:rsidRPr="00B9213B" w14:paraId="631DE388" w14:textId="77777777" w:rsidTr="00B611E6">
        <w:tc>
          <w:tcPr>
            <w:tcW w:w="561" w:type="dxa"/>
            <w:vAlign w:val="center"/>
          </w:tcPr>
          <w:p w14:paraId="26D3B44A" w14:textId="77777777" w:rsidR="00352015" w:rsidRPr="00B9213B" w:rsidRDefault="00352015" w:rsidP="00B9213B">
            <w:pPr>
              <w:pStyle w:val="Akapitzlist"/>
              <w:numPr>
                <w:ilvl w:val="0"/>
                <w:numId w:val="2"/>
              </w:numPr>
              <w:ind w:left="29" w:firstLine="0"/>
              <w:rPr>
                <w:rFonts w:cstheme="minorHAnsi"/>
                <w:sz w:val="20"/>
                <w:szCs w:val="20"/>
              </w:rPr>
            </w:pPr>
          </w:p>
        </w:tc>
        <w:tc>
          <w:tcPr>
            <w:tcW w:w="819" w:type="dxa"/>
            <w:vAlign w:val="center"/>
          </w:tcPr>
          <w:p w14:paraId="22B8437E" w14:textId="6ACADD59" w:rsidR="00352015" w:rsidRPr="00B9213B" w:rsidRDefault="00352015" w:rsidP="00B9213B">
            <w:pPr>
              <w:rPr>
                <w:rFonts w:cstheme="minorHAnsi"/>
                <w:sz w:val="20"/>
                <w:szCs w:val="20"/>
              </w:rPr>
            </w:pPr>
            <w:r w:rsidRPr="00B9213B">
              <w:rPr>
                <w:rFonts w:cstheme="minorHAnsi"/>
                <w:sz w:val="20"/>
                <w:szCs w:val="20"/>
              </w:rPr>
              <w:t>39-41</w:t>
            </w:r>
          </w:p>
        </w:tc>
        <w:tc>
          <w:tcPr>
            <w:tcW w:w="5419" w:type="dxa"/>
            <w:vAlign w:val="center"/>
          </w:tcPr>
          <w:p w14:paraId="039A8DC8" w14:textId="77777777" w:rsidR="00352015" w:rsidRPr="00B9213B" w:rsidRDefault="00352015" w:rsidP="00B9213B">
            <w:pPr>
              <w:rPr>
                <w:rFonts w:cstheme="minorHAnsi"/>
                <w:sz w:val="20"/>
                <w:szCs w:val="20"/>
              </w:rPr>
            </w:pPr>
            <w:r w:rsidRPr="00B9213B">
              <w:rPr>
                <w:rFonts w:cstheme="minorHAnsi"/>
                <w:sz w:val="20"/>
                <w:szCs w:val="20"/>
              </w:rPr>
              <w:t>Propozycja dodania zapisu:</w:t>
            </w:r>
          </w:p>
          <w:p w14:paraId="5B3DDB3D" w14:textId="77777777" w:rsidR="00352015" w:rsidRPr="00B9213B" w:rsidRDefault="00352015" w:rsidP="00B9213B">
            <w:pPr>
              <w:rPr>
                <w:rFonts w:cstheme="minorHAnsi"/>
                <w:sz w:val="20"/>
                <w:szCs w:val="20"/>
              </w:rPr>
            </w:pPr>
            <w:r w:rsidRPr="00B9213B">
              <w:rPr>
                <w:rFonts w:cstheme="minorHAnsi"/>
                <w:sz w:val="20"/>
                <w:szCs w:val="20"/>
              </w:rPr>
              <w:t>Postępujące od połowy XX wieku zmiany klimatu stanowią coraz większe zagrożenie dla zrównoważonego rozwoju zarówno dzisiejszych, jak i przyszłych pokoleń. Aby przeciwdziałać, a także adaptować się do niekorzystanych zmian, Gmina Śrem podejmie działania w zakresie rozwoju błękitno-zielonej infrastruktury. Priorytetowo będą traktowane przedsięwzięcia w zakresie zwiększenia powierzchni terenów zieleni w miastach (np. zwiększenie zieleni miejskiej, zakładanie zielonych dachów i ścian, zielone przystanki, zakładanie i odnowa zielonych podwórek) oraz rozwoju małej retencji (np. budowa zbiorników podziemnych i naziemnych na wodę opadową,  budowa i odnowa stawów, budowa zbiorników retencyjnych w systemie cieków lokalnych), co ma doprowadzić do minimalizacji miejskich „wysp ciepła” oraz skutecznego wykorzystania wód opadowych.</w:t>
            </w:r>
          </w:p>
          <w:p w14:paraId="6F10AC18" w14:textId="77777777" w:rsidR="00352015" w:rsidRPr="00B9213B" w:rsidRDefault="00352015" w:rsidP="00B9213B">
            <w:pPr>
              <w:rPr>
                <w:rFonts w:cstheme="minorHAnsi"/>
                <w:sz w:val="20"/>
                <w:szCs w:val="20"/>
              </w:rPr>
            </w:pPr>
            <w:r w:rsidRPr="00B9213B">
              <w:rPr>
                <w:rFonts w:cstheme="minorHAnsi"/>
                <w:sz w:val="20"/>
                <w:szCs w:val="20"/>
              </w:rPr>
              <w:t>Oraz kluczowego kierunku interwencji</w:t>
            </w:r>
          </w:p>
          <w:p w14:paraId="1201ECA0" w14:textId="6DA6F500" w:rsidR="00352015" w:rsidRPr="00B9213B" w:rsidRDefault="00352015" w:rsidP="00B9213B">
            <w:pPr>
              <w:rPr>
                <w:rFonts w:cstheme="minorHAnsi"/>
                <w:sz w:val="20"/>
                <w:szCs w:val="20"/>
              </w:rPr>
            </w:pPr>
            <w:r w:rsidRPr="00B9213B">
              <w:rPr>
                <w:rFonts w:cstheme="minorHAnsi"/>
                <w:sz w:val="20"/>
                <w:szCs w:val="20"/>
              </w:rPr>
              <w:t>Rozwój błękitno-zielonej infrastruktury</w:t>
            </w:r>
          </w:p>
        </w:tc>
        <w:tc>
          <w:tcPr>
            <w:tcW w:w="2937" w:type="dxa"/>
            <w:vAlign w:val="center"/>
          </w:tcPr>
          <w:p w14:paraId="6EDF8446" w14:textId="3911EA93" w:rsidR="00352015" w:rsidRPr="00B9213B" w:rsidRDefault="00352015" w:rsidP="00B9213B">
            <w:pPr>
              <w:rPr>
                <w:rFonts w:cstheme="minorHAnsi"/>
                <w:sz w:val="20"/>
                <w:szCs w:val="20"/>
              </w:rPr>
            </w:pPr>
            <w:r w:rsidRPr="00B9213B">
              <w:rPr>
                <w:rFonts w:cstheme="minorHAnsi"/>
                <w:sz w:val="20"/>
                <w:szCs w:val="20"/>
              </w:rPr>
              <w:t>Adaptacja do zmian klimatu przez przestrzeń miast jest ważnym wyzwaniem XXI wieku dla samorządów lokalnych. Działania takie powinny już znaleźć odzwierciedlenie na poziomie strategii gminy.</w:t>
            </w:r>
          </w:p>
        </w:tc>
        <w:tc>
          <w:tcPr>
            <w:tcW w:w="1673" w:type="dxa"/>
            <w:vAlign w:val="center"/>
          </w:tcPr>
          <w:p w14:paraId="0FE25C95" w14:textId="134A7621" w:rsidR="00352015" w:rsidRPr="00B9213B" w:rsidRDefault="00C765B2" w:rsidP="00B9213B">
            <w:pPr>
              <w:rPr>
                <w:rFonts w:cstheme="minorHAnsi"/>
                <w:sz w:val="20"/>
                <w:szCs w:val="20"/>
              </w:rPr>
            </w:pPr>
            <w:r w:rsidRPr="00B9213B">
              <w:rPr>
                <w:rFonts w:cstheme="minorHAnsi"/>
                <w:sz w:val="20"/>
                <w:szCs w:val="20"/>
              </w:rPr>
              <w:t>Uzupełniono</w:t>
            </w:r>
          </w:p>
        </w:tc>
        <w:tc>
          <w:tcPr>
            <w:tcW w:w="2149" w:type="dxa"/>
            <w:vAlign w:val="center"/>
          </w:tcPr>
          <w:p w14:paraId="7A066A03" w14:textId="1C743D62" w:rsidR="00352015" w:rsidRPr="00B9213B" w:rsidRDefault="00C765B2" w:rsidP="00B9213B">
            <w:pPr>
              <w:rPr>
                <w:rFonts w:cstheme="minorHAnsi"/>
                <w:sz w:val="20"/>
                <w:szCs w:val="20"/>
              </w:rPr>
            </w:pPr>
            <w:r w:rsidRPr="00B9213B">
              <w:rPr>
                <w:rFonts w:cstheme="minorHAnsi"/>
                <w:sz w:val="20"/>
                <w:szCs w:val="20"/>
              </w:rPr>
              <w:t>Przeciwdziałanie przyczynom zmian klimatycznych i przygotowywanie się na ich skutki jest jednym z największych wyzwań na najbliższe dekady.</w:t>
            </w:r>
          </w:p>
        </w:tc>
      </w:tr>
      <w:tr w:rsidR="00352015" w:rsidRPr="00B9213B" w14:paraId="6F18BF90" w14:textId="77777777" w:rsidTr="00B611E6">
        <w:tc>
          <w:tcPr>
            <w:tcW w:w="561" w:type="dxa"/>
            <w:vAlign w:val="center"/>
          </w:tcPr>
          <w:p w14:paraId="446CF2A0" w14:textId="77777777" w:rsidR="00352015" w:rsidRPr="00B9213B" w:rsidRDefault="00352015" w:rsidP="00B9213B">
            <w:pPr>
              <w:pStyle w:val="Akapitzlist"/>
              <w:numPr>
                <w:ilvl w:val="0"/>
                <w:numId w:val="2"/>
              </w:numPr>
              <w:ind w:left="29" w:firstLine="0"/>
              <w:rPr>
                <w:rFonts w:cstheme="minorHAnsi"/>
                <w:sz w:val="20"/>
                <w:szCs w:val="20"/>
              </w:rPr>
            </w:pPr>
          </w:p>
        </w:tc>
        <w:tc>
          <w:tcPr>
            <w:tcW w:w="819" w:type="dxa"/>
            <w:vAlign w:val="center"/>
          </w:tcPr>
          <w:p w14:paraId="22A4B93F" w14:textId="2379FBB6" w:rsidR="00352015" w:rsidRPr="00B9213B" w:rsidRDefault="00352015" w:rsidP="00B9213B">
            <w:pPr>
              <w:rPr>
                <w:rFonts w:cstheme="minorHAnsi"/>
                <w:sz w:val="20"/>
                <w:szCs w:val="20"/>
              </w:rPr>
            </w:pPr>
            <w:r w:rsidRPr="00B9213B">
              <w:rPr>
                <w:rFonts w:cstheme="minorHAnsi"/>
                <w:sz w:val="20"/>
                <w:szCs w:val="20"/>
              </w:rPr>
              <w:t>40</w:t>
            </w:r>
          </w:p>
        </w:tc>
        <w:tc>
          <w:tcPr>
            <w:tcW w:w="5419" w:type="dxa"/>
            <w:vAlign w:val="center"/>
          </w:tcPr>
          <w:p w14:paraId="2463668D" w14:textId="19BA4D76" w:rsidR="00352015" w:rsidRPr="00B9213B" w:rsidRDefault="00352015" w:rsidP="00B9213B">
            <w:pPr>
              <w:rPr>
                <w:rFonts w:cstheme="minorHAnsi"/>
                <w:sz w:val="20"/>
                <w:szCs w:val="20"/>
              </w:rPr>
            </w:pPr>
            <w:r w:rsidRPr="00B9213B">
              <w:rPr>
                <w:rFonts w:cstheme="minorHAnsi"/>
                <w:sz w:val="20"/>
                <w:szCs w:val="20"/>
              </w:rPr>
              <w:t>Dodanie zapisów na temat wysypiska w Pyszącej.</w:t>
            </w:r>
          </w:p>
        </w:tc>
        <w:tc>
          <w:tcPr>
            <w:tcW w:w="2937" w:type="dxa"/>
            <w:vAlign w:val="center"/>
          </w:tcPr>
          <w:p w14:paraId="1461FFB3" w14:textId="1B3A6144" w:rsidR="00352015" w:rsidRPr="00B9213B" w:rsidRDefault="00352015" w:rsidP="00B9213B">
            <w:pPr>
              <w:rPr>
                <w:rFonts w:cstheme="minorHAnsi"/>
                <w:sz w:val="20"/>
                <w:szCs w:val="20"/>
              </w:rPr>
            </w:pPr>
            <w:r w:rsidRPr="00B9213B">
              <w:rPr>
                <w:rFonts w:cstheme="minorHAnsi"/>
                <w:sz w:val="20"/>
                <w:szCs w:val="20"/>
              </w:rPr>
              <w:t>Rekultywacja wysypiska w Pyszącej powinna być ważnym celem działań gminy Śrem. Jest to ważne dla wielu mieszkańców gminy, szczególnie rejonu wsi Pysząca.</w:t>
            </w:r>
          </w:p>
        </w:tc>
        <w:tc>
          <w:tcPr>
            <w:tcW w:w="1673" w:type="dxa"/>
            <w:vAlign w:val="center"/>
          </w:tcPr>
          <w:p w14:paraId="0E9B2CA7" w14:textId="08A05A4F" w:rsidR="00352015" w:rsidRPr="00B9213B" w:rsidRDefault="00C765B2" w:rsidP="00B9213B">
            <w:pPr>
              <w:rPr>
                <w:rFonts w:cstheme="minorHAnsi"/>
                <w:sz w:val="20"/>
                <w:szCs w:val="20"/>
              </w:rPr>
            </w:pPr>
            <w:r w:rsidRPr="00B9213B">
              <w:rPr>
                <w:rFonts w:cstheme="minorHAnsi"/>
                <w:sz w:val="20"/>
                <w:szCs w:val="20"/>
              </w:rPr>
              <w:t>Uzupełniono</w:t>
            </w:r>
          </w:p>
        </w:tc>
        <w:tc>
          <w:tcPr>
            <w:tcW w:w="2149" w:type="dxa"/>
            <w:vAlign w:val="center"/>
          </w:tcPr>
          <w:p w14:paraId="720CC61A" w14:textId="1E211A77" w:rsidR="00352015" w:rsidRPr="00B9213B" w:rsidRDefault="00C765B2" w:rsidP="00B9213B">
            <w:pPr>
              <w:rPr>
                <w:rFonts w:cstheme="minorHAnsi"/>
                <w:sz w:val="20"/>
                <w:szCs w:val="20"/>
              </w:rPr>
            </w:pPr>
            <w:r w:rsidRPr="00B9213B">
              <w:rPr>
                <w:rFonts w:cstheme="minorHAnsi"/>
                <w:sz w:val="20"/>
                <w:szCs w:val="20"/>
              </w:rPr>
              <w:t>Istotny kierunek działania Gminy</w:t>
            </w:r>
          </w:p>
        </w:tc>
      </w:tr>
      <w:tr w:rsidR="00C02F94" w:rsidRPr="00B9213B" w14:paraId="0EE65CCC" w14:textId="77777777" w:rsidTr="00B611E6">
        <w:tc>
          <w:tcPr>
            <w:tcW w:w="561" w:type="dxa"/>
            <w:vAlign w:val="center"/>
          </w:tcPr>
          <w:p w14:paraId="31233F14" w14:textId="77777777" w:rsidR="00C02F94" w:rsidRPr="00B9213B" w:rsidRDefault="00C02F94" w:rsidP="00B9213B">
            <w:pPr>
              <w:pStyle w:val="Akapitzlist"/>
              <w:numPr>
                <w:ilvl w:val="0"/>
                <w:numId w:val="2"/>
              </w:numPr>
              <w:ind w:left="29" w:firstLine="0"/>
              <w:rPr>
                <w:rFonts w:cstheme="minorHAnsi"/>
                <w:sz w:val="20"/>
                <w:szCs w:val="20"/>
              </w:rPr>
            </w:pPr>
          </w:p>
        </w:tc>
        <w:tc>
          <w:tcPr>
            <w:tcW w:w="819" w:type="dxa"/>
            <w:vAlign w:val="center"/>
          </w:tcPr>
          <w:p w14:paraId="3037B510" w14:textId="233A6456" w:rsidR="00C02F94" w:rsidRPr="00B9213B" w:rsidRDefault="00C02F94" w:rsidP="00B9213B">
            <w:pPr>
              <w:rPr>
                <w:rFonts w:cstheme="minorHAnsi"/>
                <w:sz w:val="20"/>
                <w:szCs w:val="20"/>
              </w:rPr>
            </w:pPr>
            <w:r w:rsidRPr="00B9213B">
              <w:rPr>
                <w:rFonts w:cstheme="minorHAnsi"/>
                <w:sz w:val="20"/>
                <w:szCs w:val="20"/>
              </w:rPr>
              <w:t>40</w:t>
            </w:r>
          </w:p>
        </w:tc>
        <w:tc>
          <w:tcPr>
            <w:tcW w:w="5419" w:type="dxa"/>
            <w:vAlign w:val="center"/>
          </w:tcPr>
          <w:p w14:paraId="6429F5A3" w14:textId="12280612" w:rsidR="00C02F94" w:rsidRPr="00B9213B" w:rsidRDefault="00C02F94" w:rsidP="00B9213B">
            <w:pPr>
              <w:rPr>
                <w:rFonts w:cstheme="minorHAnsi"/>
                <w:sz w:val="20"/>
                <w:szCs w:val="20"/>
              </w:rPr>
            </w:pPr>
            <w:r w:rsidRPr="00B9213B">
              <w:rPr>
                <w:rFonts w:cstheme="minorHAnsi"/>
                <w:sz w:val="20"/>
                <w:szCs w:val="20"/>
              </w:rPr>
              <w:t>Dopisanie w kluczowych kierunkach interwencji inwestycji w infrastrukturę mostową.</w:t>
            </w:r>
          </w:p>
        </w:tc>
        <w:tc>
          <w:tcPr>
            <w:tcW w:w="2937" w:type="dxa"/>
            <w:vAlign w:val="center"/>
          </w:tcPr>
          <w:p w14:paraId="38C14B5A" w14:textId="247D9750" w:rsidR="00C02F94" w:rsidRPr="00B9213B" w:rsidRDefault="00C02F94" w:rsidP="00B9213B">
            <w:pPr>
              <w:rPr>
                <w:rFonts w:cstheme="minorHAnsi"/>
                <w:sz w:val="20"/>
                <w:szCs w:val="20"/>
              </w:rPr>
            </w:pPr>
            <w:r w:rsidRPr="00B9213B">
              <w:rPr>
                <w:rFonts w:cstheme="minorHAnsi"/>
                <w:sz w:val="20"/>
                <w:szCs w:val="20"/>
              </w:rPr>
              <w:t>Kompleksowe uzupełnienie danych.</w:t>
            </w:r>
          </w:p>
        </w:tc>
        <w:tc>
          <w:tcPr>
            <w:tcW w:w="1673" w:type="dxa"/>
            <w:vAlign w:val="center"/>
          </w:tcPr>
          <w:p w14:paraId="6A748D11" w14:textId="57B5A8AA" w:rsidR="00C02F94" w:rsidRPr="00B9213B" w:rsidRDefault="00C02F94" w:rsidP="00B9213B">
            <w:pPr>
              <w:rPr>
                <w:rFonts w:cstheme="minorHAnsi"/>
                <w:sz w:val="20"/>
                <w:szCs w:val="20"/>
              </w:rPr>
            </w:pPr>
            <w:r w:rsidRPr="00B9213B">
              <w:rPr>
                <w:rFonts w:cstheme="minorHAnsi"/>
                <w:sz w:val="20"/>
                <w:szCs w:val="20"/>
              </w:rPr>
              <w:t>Uzupełniono</w:t>
            </w:r>
          </w:p>
        </w:tc>
        <w:tc>
          <w:tcPr>
            <w:tcW w:w="2149" w:type="dxa"/>
            <w:vAlign w:val="center"/>
          </w:tcPr>
          <w:p w14:paraId="1454A90F" w14:textId="6F145753" w:rsidR="00C02F94" w:rsidRPr="00B9213B" w:rsidRDefault="00C02F94" w:rsidP="00B9213B">
            <w:pPr>
              <w:rPr>
                <w:rFonts w:cstheme="minorHAnsi"/>
                <w:sz w:val="20"/>
                <w:szCs w:val="20"/>
              </w:rPr>
            </w:pPr>
            <w:r w:rsidRPr="00B9213B">
              <w:rPr>
                <w:rFonts w:cstheme="minorHAnsi"/>
                <w:sz w:val="20"/>
                <w:szCs w:val="20"/>
              </w:rPr>
              <w:t>Istotny kierunek działania Gminy</w:t>
            </w:r>
          </w:p>
        </w:tc>
      </w:tr>
      <w:tr w:rsidR="00C02F94" w:rsidRPr="00B9213B" w14:paraId="5CEBC009" w14:textId="77777777" w:rsidTr="00B611E6">
        <w:tc>
          <w:tcPr>
            <w:tcW w:w="561" w:type="dxa"/>
            <w:vAlign w:val="center"/>
          </w:tcPr>
          <w:p w14:paraId="67AC905C" w14:textId="77777777" w:rsidR="00C02F94" w:rsidRPr="00B9213B" w:rsidRDefault="00C02F94" w:rsidP="00B9213B">
            <w:pPr>
              <w:pStyle w:val="Akapitzlist"/>
              <w:numPr>
                <w:ilvl w:val="0"/>
                <w:numId w:val="2"/>
              </w:numPr>
              <w:ind w:left="29" w:firstLine="0"/>
              <w:rPr>
                <w:rFonts w:cstheme="minorHAnsi"/>
                <w:sz w:val="20"/>
                <w:szCs w:val="20"/>
              </w:rPr>
            </w:pPr>
          </w:p>
        </w:tc>
        <w:tc>
          <w:tcPr>
            <w:tcW w:w="819" w:type="dxa"/>
            <w:vAlign w:val="center"/>
          </w:tcPr>
          <w:p w14:paraId="622B0CE2" w14:textId="188A926C" w:rsidR="00C02F94" w:rsidRPr="00B9213B" w:rsidRDefault="00C02F94" w:rsidP="00B9213B">
            <w:pPr>
              <w:rPr>
                <w:rFonts w:cstheme="minorHAnsi"/>
                <w:sz w:val="20"/>
                <w:szCs w:val="20"/>
              </w:rPr>
            </w:pPr>
            <w:r w:rsidRPr="00B9213B">
              <w:rPr>
                <w:rFonts w:cstheme="minorHAnsi"/>
                <w:sz w:val="20"/>
                <w:szCs w:val="20"/>
              </w:rPr>
              <w:t>41-42</w:t>
            </w:r>
          </w:p>
        </w:tc>
        <w:tc>
          <w:tcPr>
            <w:tcW w:w="5419" w:type="dxa"/>
            <w:vAlign w:val="center"/>
          </w:tcPr>
          <w:p w14:paraId="289A36C9" w14:textId="171FE78B" w:rsidR="00C02F94" w:rsidRPr="00B9213B" w:rsidRDefault="00C02F94" w:rsidP="00B9213B">
            <w:pPr>
              <w:rPr>
                <w:rFonts w:cstheme="minorHAnsi"/>
                <w:sz w:val="20"/>
                <w:szCs w:val="20"/>
              </w:rPr>
            </w:pPr>
            <w:r w:rsidRPr="00B9213B">
              <w:rPr>
                <w:rFonts w:cstheme="minorHAnsi"/>
                <w:sz w:val="20"/>
                <w:szCs w:val="20"/>
              </w:rPr>
              <w:t>Brak informacji o zaangażowaniu Gminy Śrem w nowy autobusowy związek komunalny, który ma przejąć zadania PKS Poznań.</w:t>
            </w:r>
          </w:p>
        </w:tc>
        <w:tc>
          <w:tcPr>
            <w:tcW w:w="2937" w:type="dxa"/>
            <w:vAlign w:val="center"/>
          </w:tcPr>
          <w:p w14:paraId="3F347A16" w14:textId="3E027CB7" w:rsidR="00C02F94" w:rsidRPr="00B9213B" w:rsidRDefault="00C02F94" w:rsidP="00B9213B">
            <w:pPr>
              <w:rPr>
                <w:rFonts w:cstheme="minorHAnsi"/>
                <w:sz w:val="20"/>
                <w:szCs w:val="20"/>
              </w:rPr>
            </w:pPr>
            <w:r w:rsidRPr="00B9213B">
              <w:rPr>
                <w:rFonts w:cstheme="minorHAnsi"/>
                <w:sz w:val="20"/>
                <w:szCs w:val="20"/>
              </w:rPr>
              <w:t xml:space="preserve">Rozwój transportu publicznego na linii miasto – stolica województwa powinien być </w:t>
            </w:r>
            <w:r w:rsidRPr="00B9213B">
              <w:rPr>
                <w:rFonts w:cstheme="minorHAnsi"/>
                <w:sz w:val="20"/>
                <w:szCs w:val="20"/>
              </w:rPr>
              <w:lastRenderedPageBreak/>
              <w:t>kluczowym zadaniem dla samorządu gminnego.</w:t>
            </w:r>
          </w:p>
        </w:tc>
        <w:tc>
          <w:tcPr>
            <w:tcW w:w="1673" w:type="dxa"/>
            <w:vAlign w:val="center"/>
          </w:tcPr>
          <w:p w14:paraId="5B3C7941" w14:textId="4542FF9F" w:rsidR="00C02F94" w:rsidRPr="00B9213B" w:rsidRDefault="00410CE6" w:rsidP="00B9213B">
            <w:pPr>
              <w:rPr>
                <w:rFonts w:cstheme="minorHAnsi"/>
                <w:sz w:val="20"/>
                <w:szCs w:val="20"/>
              </w:rPr>
            </w:pPr>
            <w:r w:rsidRPr="00B9213B">
              <w:rPr>
                <w:rFonts w:cstheme="minorHAnsi"/>
                <w:sz w:val="20"/>
                <w:szCs w:val="20"/>
              </w:rPr>
              <w:lastRenderedPageBreak/>
              <w:t>Uzupełniono w punkcie 7.4.1. Strategii</w:t>
            </w:r>
          </w:p>
        </w:tc>
        <w:tc>
          <w:tcPr>
            <w:tcW w:w="2149" w:type="dxa"/>
            <w:vAlign w:val="center"/>
          </w:tcPr>
          <w:p w14:paraId="3A049598" w14:textId="7FA370E7" w:rsidR="00C02F94" w:rsidRPr="00B9213B" w:rsidRDefault="00410CE6" w:rsidP="00B9213B">
            <w:pPr>
              <w:rPr>
                <w:rFonts w:cstheme="minorHAnsi"/>
                <w:sz w:val="20"/>
                <w:szCs w:val="20"/>
              </w:rPr>
            </w:pPr>
            <w:r w:rsidRPr="00B9213B">
              <w:rPr>
                <w:rFonts w:cstheme="minorHAnsi"/>
                <w:sz w:val="20"/>
                <w:szCs w:val="20"/>
              </w:rPr>
              <w:t>Istotny kierunek działania Gminy</w:t>
            </w:r>
          </w:p>
        </w:tc>
      </w:tr>
      <w:tr w:rsidR="00410CE6" w:rsidRPr="00B9213B" w14:paraId="77F94DB1" w14:textId="77777777" w:rsidTr="00B611E6">
        <w:tc>
          <w:tcPr>
            <w:tcW w:w="561" w:type="dxa"/>
            <w:vAlign w:val="center"/>
          </w:tcPr>
          <w:p w14:paraId="179BCFDD" w14:textId="77777777" w:rsidR="00410CE6" w:rsidRPr="00B9213B" w:rsidRDefault="00410CE6" w:rsidP="00B9213B">
            <w:pPr>
              <w:pStyle w:val="Akapitzlist"/>
              <w:numPr>
                <w:ilvl w:val="0"/>
                <w:numId w:val="2"/>
              </w:numPr>
              <w:ind w:left="29" w:firstLine="0"/>
              <w:rPr>
                <w:rFonts w:cstheme="minorHAnsi"/>
                <w:sz w:val="20"/>
                <w:szCs w:val="20"/>
              </w:rPr>
            </w:pPr>
          </w:p>
        </w:tc>
        <w:tc>
          <w:tcPr>
            <w:tcW w:w="819" w:type="dxa"/>
            <w:vAlign w:val="center"/>
          </w:tcPr>
          <w:p w14:paraId="4F821F0F" w14:textId="5BAB60F9" w:rsidR="00410CE6" w:rsidRPr="00B9213B" w:rsidRDefault="00410CE6" w:rsidP="00B9213B">
            <w:pPr>
              <w:rPr>
                <w:rFonts w:cstheme="minorHAnsi"/>
                <w:sz w:val="20"/>
                <w:szCs w:val="20"/>
              </w:rPr>
            </w:pPr>
            <w:r w:rsidRPr="00B9213B">
              <w:rPr>
                <w:rFonts w:cstheme="minorHAnsi"/>
                <w:sz w:val="20"/>
                <w:szCs w:val="20"/>
              </w:rPr>
              <w:t>41-42</w:t>
            </w:r>
          </w:p>
        </w:tc>
        <w:tc>
          <w:tcPr>
            <w:tcW w:w="5419" w:type="dxa"/>
            <w:vAlign w:val="center"/>
          </w:tcPr>
          <w:p w14:paraId="4DEE711E" w14:textId="58B40AE5" w:rsidR="00410CE6" w:rsidRPr="00B9213B" w:rsidRDefault="00410CE6" w:rsidP="00B9213B">
            <w:pPr>
              <w:rPr>
                <w:rFonts w:cstheme="minorHAnsi"/>
                <w:sz w:val="20"/>
                <w:szCs w:val="20"/>
              </w:rPr>
            </w:pPr>
            <w:r w:rsidRPr="00B9213B">
              <w:rPr>
                <w:rFonts w:cstheme="minorHAnsi"/>
                <w:sz w:val="20"/>
                <w:szCs w:val="20"/>
              </w:rPr>
              <w:t>Dopisanie zadania polegające na budowie III etapu obwodnicy, rozbudowie DW 434, modernizacji ulic Piłsudskiego i Sikorskiego oraz obu mostów.</w:t>
            </w:r>
          </w:p>
        </w:tc>
        <w:tc>
          <w:tcPr>
            <w:tcW w:w="2937" w:type="dxa"/>
            <w:vAlign w:val="center"/>
          </w:tcPr>
          <w:p w14:paraId="4F76709A" w14:textId="0E12D640" w:rsidR="00410CE6" w:rsidRPr="00B9213B" w:rsidRDefault="00410CE6" w:rsidP="00B9213B">
            <w:pPr>
              <w:rPr>
                <w:rFonts w:cstheme="minorHAnsi"/>
                <w:sz w:val="20"/>
                <w:szCs w:val="20"/>
              </w:rPr>
            </w:pPr>
            <w:r w:rsidRPr="00B9213B">
              <w:rPr>
                <w:rFonts w:cstheme="minorHAnsi"/>
                <w:sz w:val="20"/>
                <w:szCs w:val="20"/>
              </w:rPr>
              <w:t xml:space="preserve">Są to kluczowe inwestycje infrastrukturalne w kontekście usprawnienia transportu w gminie Śrem, które także przyczynią się do rozwoju społeczno-gospodarczego. </w:t>
            </w:r>
          </w:p>
        </w:tc>
        <w:tc>
          <w:tcPr>
            <w:tcW w:w="1673" w:type="dxa"/>
            <w:vAlign w:val="center"/>
          </w:tcPr>
          <w:p w14:paraId="0DCAA295" w14:textId="60661DC5" w:rsidR="00410CE6" w:rsidRPr="00B9213B" w:rsidRDefault="00410CE6" w:rsidP="00B9213B">
            <w:pPr>
              <w:rPr>
                <w:rFonts w:cstheme="minorHAnsi"/>
                <w:sz w:val="20"/>
                <w:szCs w:val="20"/>
              </w:rPr>
            </w:pPr>
            <w:r w:rsidRPr="00B9213B">
              <w:rPr>
                <w:rFonts w:cstheme="minorHAnsi"/>
                <w:sz w:val="20"/>
                <w:szCs w:val="20"/>
              </w:rPr>
              <w:t>Uzupełniono</w:t>
            </w:r>
          </w:p>
        </w:tc>
        <w:tc>
          <w:tcPr>
            <w:tcW w:w="2149" w:type="dxa"/>
            <w:vAlign w:val="center"/>
          </w:tcPr>
          <w:p w14:paraId="31CBF16A" w14:textId="489102A1" w:rsidR="00410CE6" w:rsidRPr="00B9213B" w:rsidRDefault="00410CE6" w:rsidP="00B9213B">
            <w:pPr>
              <w:rPr>
                <w:rFonts w:cstheme="minorHAnsi"/>
                <w:sz w:val="20"/>
                <w:szCs w:val="20"/>
              </w:rPr>
            </w:pPr>
            <w:r w:rsidRPr="00B9213B">
              <w:rPr>
                <w:rFonts w:cstheme="minorHAnsi"/>
                <w:sz w:val="20"/>
                <w:szCs w:val="20"/>
              </w:rPr>
              <w:t>Istotny kierunek działania Gminy</w:t>
            </w:r>
          </w:p>
        </w:tc>
      </w:tr>
      <w:tr w:rsidR="00410CE6" w:rsidRPr="00B9213B" w14:paraId="0D1C04A3" w14:textId="77777777" w:rsidTr="00B611E6">
        <w:tc>
          <w:tcPr>
            <w:tcW w:w="561" w:type="dxa"/>
            <w:vAlign w:val="center"/>
          </w:tcPr>
          <w:p w14:paraId="05C0308E" w14:textId="77777777" w:rsidR="00410CE6" w:rsidRPr="00B9213B" w:rsidRDefault="00410CE6" w:rsidP="00B9213B">
            <w:pPr>
              <w:pStyle w:val="Akapitzlist"/>
              <w:numPr>
                <w:ilvl w:val="0"/>
                <w:numId w:val="2"/>
              </w:numPr>
              <w:ind w:left="29" w:firstLine="0"/>
              <w:rPr>
                <w:rFonts w:cstheme="minorHAnsi"/>
                <w:sz w:val="20"/>
                <w:szCs w:val="20"/>
              </w:rPr>
            </w:pPr>
          </w:p>
        </w:tc>
        <w:tc>
          <w:tcPr>
            <w:tcW w:w="819" w:type="dxa"/>
            <w:vAlign w:val="center"/>
          </w:tcPr>
          <w:p w14:paraId="391360CC" w14:textId="06EAA7A7" w:rsidR="00410CE6" w:rsidRPr="00B9213B" w:rsidRDefault="00410CE6" w:rsidP="00B9213B">
            <w:pPr>
              <w:rPr>
                <w:rFonts w:cstheme="minorHAnsi"/>
                <w:sz w:val="20"/>
                <w:szCs w:val="20"/>
              </w:rPr>
            </w:pPr>
            <w:r w:rsidRPr="00B9213B">
              <w:rPr>
                <w:rFonts w:cstheme="minorHAnsi"/>
                <w:sz w:val="20"/>
                <w:szCs w:val="20"/>
              </w:rPr>
              <w:t>44</w:t>
            </w:r>
          </w:p>
        </w:tc>
        <w:tc>
          <w:tcPr>
            <w:tcW w:w="5419" w:type="dxa"/>
            <w:vAlign w:val="center"/>
          </w:tcPr>
          <w:p w14:paraId="37754834" w14:textId="732E5B40" w:rsidR="00410CE6" w:rsidRPr="00B9213B" w:rsidRDefault="00410CE6" w:rsidP="00B9213B">
            <w:pPr>
              <w:rPr>
                <w:rFonts w:cstheme="minorHAnsi"/>
                <w:sz w:val="20"/>
                <w:szCs w:val="20"/>
              </w:rPr>
            </w:pPr>
            <w:r w:rsidRPr="00B9213B">
              <w:rPr>
                <w:rFonts w:cstheme="minorHAnsi"/>
                <w:sz w:val="20"/>
                <w:szCs w:val="20"/>
              </w:rPr>
              <w:t>Przeredagowanie ostatniego zdania w 4 akapicie</w:t>
            </w:r>
          </w:p>
        </w:tc>
        <w:tc>
          <w:tcPr>
            <w:tcW w:w="2937" w:type="dxa"/>
            <w:vAlign w:val="center"/>
          </w:tcPr>
          <w:p w14:paraId="295FC16B" w14:textId="546F9F2F" w:rsidR="00410CE6" w:rsidRPr="00B9213B" w:rsidRDefault="00410CE6" w:rsidP="00B9213B">
            <w:pPr>
              <w:rPr>
                <w:rFonts w:cstheme="minorHAnsi"/>
                <w:sz w:val="20"/>
                <w:szCs w:val="20"/>
              </w:rPr>
            </w:pPr>
            <w:r w:rsidRPr="00B9213B">
              <w:rPr>
                <w:rFonts w:cstheme="minorHAnsi"/>
                <w:sz w:val="20"/>
                <w:szCs w:val="20"/>
              </w:rPr>
              <w:t>Błąd stylistyczny.</w:t>
            </w:r>
          </w:p>
        </w:tc>
        <w:tc>
          <w:tcPr>
            <w:tcW w:w="1673" w:type="dxa"/>
            <w:vAlign w:val="center"/>
          </w:tcPr>
          <w:p w14:paraId="598BE722" w14:textId="2A92EC09" w:rsidR="00410CE6" w:rsidRPr="00B9213B" w:rsidRDefault="00CA1D58" w:rsidP="00B9213B">
            <w:pPr>
              <w:rPr>
                <w:rFonts w:cstheme="minorHAnsi"/>
                <w:sz w:val="20"/>
                <w:szCs w:val="20"/>
              </w:rPr>
            </w:pPr>
            <w:r w:rsidRPr="00B9213B">
              <w:rPr>
                <w:rFonts w:cstheme="minorHAnsi"/>
                <w:sz w:val="20"/>
                <w:szCs w:val="20"/>
              </w:rPr>
              <w:t>Przeformułowano zapis</w:t>
            </w:r>
          </w:p>
        </w:tc>
        <w:tc>
          <w:tcPr>
            <w:tcW w:w="2149" w:type="dxa"/>
            <w:vAlign w:val="center"/>
          </w:tcPr>
          <w:p w14:paraId="672EE535" w14:textId="3FECF221" w:rsidR="00410CE6" w:rsidRPr="00B9213B" w:rsidRDefault="00CA1D58" w:rsidP="00B9213B">
            <w:pPr>
              <w:rPr>
                <w:rFonts w:cstheme="minorHAnsi"/>
                <w:sz w:val="20"/>
                <w:szCs w:val="20"/>
              </w:rPr>
            </w:pPr>
            <w:r w:rsidRPr="00B9213B">
              <w:rPr>
                <w:rFonts w:cstheme="minorHAnsi"/>
                <w:sz w:val="20"/>
                <w:szCs w:val="20"/>
              </w:rPr>
              <w:t>Cały akapit uzyskał nowe brzmienie przy zachowaniu dotychczasowego sensu</w:t>
            </w:r>
          </w:p>
        </w:tc>
      </w:tr>
      <w:tr w:rsidR="00410CE6" w:rsidRPr="00B9213B" w14:paraId="6E8EF506" w14:textId="77777777" w:rsidTr="00B611E6">
        <w:tc>
          <w:tcPr>
            <w:tcW w:w="561" w:type="dxa"/>
            <w:vAlign w:val="center"/>
          </w:tcPr>
          <w:p w14:paraId="0EAF9BB1" w14:textId="77777777" w:rsidR="00410CE6" w:rsidRPr="00B9213B" w:rsidRDefault="00410CE6" w:rsidP="00B9213B">
            <w:pPr>
              <w:pStyle w:val="Akapitzlist"/>
              <w:numPr>
                <w:ilvl w:val="0"/>
                <w:numId w:val="2"/>
              </w:numPr>
              <w:ind w:left="29" w:firstLine="0"/>
              <w:rPr>
                <w:rFonts w:cstheme="minorHAnsi"/>
                <w:sz w:val="20"/>
                <w:szCs w:val="20"/>
              </w:rPr>
            </w:pPr>
          </w:p>
        </w:tc>
        <w:tc>
          <w:tcPr>
            <w:tcW w:w="819" w:type="dxa"/>
            <w:vAlign w:val="center"/>
          </w:tcPr>
          <w:p w14:paraId="01F49AEA" w14:textId="7D5AE74E" w:rsidR="00410CE6" w:rsidRPr="00B9213B" w:rsidRDefault="00410CE6" w:rsidP="00B9213B">
            <w:pPr>
              <w:rPr>
                <w:rFonts w:cstheme="minorHAnsi"/>
                <w:sz w:val="20"/>
                <w:szCs w:val="20"/>
              </w:rPr>
            </w:pPr>
            <w:r w:rsidRPr="00B9213B">
              <w:rPr>
                <w:rFonts w:cstheme="minorHAnsi"/>
                <w:sz w:val="20"/>
                <w:szCs w:val="20"/>
              </w:rPr>
              <w:t>47</w:t>
            </w:r>
          </w:p>
        </w:tc>
        <w:tc>
          <w:tcPr>
            <w:tcW w:w="5419" w:type="dxa"/>
            <w:vAlign w:val="center"/>
          </w:tcPr>
          <w:p w14:paraId="1FE7ACAC" w14:textId="23688C8E" w:rsidR="00410CE6" w:rsidRPr="00B9213B" w:rsidRDefault="00410CE6" w:rsidP="00B9213B">
            <w:pPr>
              <w:rPr>
                <w:rFonts w:cstheme="minorHAnsi"/>
                <w:sz w:val="20"/>
                <w:szCs w:val="20"/>
              </w:rPr>
            </w:pPr>
            <w:r w:rsidRPr="00B9213B">
              <w:rPr>
                <w:rFonts w:cstheme="minorHAnsi"/>
                <w:sz w:val="20"/>
                <w:szCs w:val="20"/>
              </w:rPr>
              <w:t xml:space="preserve">Proszę o analizę czy rysunek nr 34 został sporządzony prawidłowo. </w:t>
            </w:r>
          </w:p>
        </w:tc>
        <w:tc>
          <w:tcPr>
            <w:tcW w:w="2937" w:type="dxa"/>
            <w:vAlign w:val="center"/>
          </w:tcPr>
          <w:p w14:paraId="15D7F5AA" w14:textId="7CE4E8BE" w:rsidR="00410CE6" w:rsidRPr="00B9213B" w:rsidRDefault="00410CE6" w:rsidP="00B9213B">
            <w:pPr>
              <w:rPr>
                <w:rFonts w:cstheme="minorHAnsi"/>
                <w:sz w:val="20"/>
                <w:szCs w:val="20"/>
              </w:rPr>
            </w:pPr>
            <w:r w:rsidRPr="00B9213B">
              <w:rPr>
                <w:rFonts w:cstheme="minorHAnsi"/>
                <w:sz w:val="20"/>
                <w:szCs w:val="20"/>
              </w:rPr>
              <w:t>Pozycje 2 i 4 mają identyczny opis.</w:t>
            </w:r>
          </w:p>
        </w:tc>
        <w:tc>
          <w:tcPr>
            <w:tcW w:w="1673" w:type="dxa"/>
            <w:vAlign w:val="center"/>
          </w:tcPr>
          <w:p w14:paraId="18F84790" w14:textId="631EB32A" w:rsidR="00410CE6" w:rsidRPr="00B9213B" w:rsidRDefault="00871692" w:rsidP="00B9213B">
            <w:pPr>
              <w:rPr>
                <w:rFonts w:cstheme="minorHAnsi"/>
                <w:sz w:val="20"/>
                <w:szCs w:val="20"/>
              </w:rPr>
            </w:pPr>
            <w:r w:rsidRPr="00B9213B">
              <w:rPr>
                <w:rFonts w:cstheme="minorHAnsi"/>
                <w:sz w:val="20"/>
                <w:szCs w:val="20"/>
              </w:rPr>
              <w:t>Uzupełniono zapis</w:t>
            </w:r>
          </w:p>
        </w:tc>
        <w:tc>
          <w:tcPr>
            <w:tcW w:w="2149" w:type="dxa"/>
            <w:vAlign w:val="center"/>
          </w:tcPr>
          <w:p w14:paraId="07DE19C3" w14:textId="560B3F19" w:rsidR="00410CE6" w:rsidRPr="00B9213B" w:rsidRDefault="00871692" w:rsidP="00B9213B">
            <w:pPr>
              <w:rPr>
                <w:rFonts w:cstheme="minorHAnsi"/>
                <w:sz w:val="20"/>
                <w:szCs w:val="20"/>
              </w:rPr>
            </w:pPr>
            <w:r w:rsidRPr="00B9213B">
              <w:rPr>
                <w:rFonts w:cstheme="minorHAnsi"/>
                <w:sz w:val="20"/>
                <w:szCs w:val="20"/>
              </w:rPr>
              <w:t>Dla poprawy czytelności opis uzupełniono o przypisy</w:t>
            </w:r>
          </w:p>
        </w:tc>
      </w:tr>
      <w:tr w:rsidR="00410CE6" w:rsidRPr="00B9213B" w14:paraId="3295D5A3" w14:textId="77777777" w:rsidTr="00B611E6">
        <w:tc>
          <w:tcPr>
            <w:tcW w:w="561" w:type="dxa"/>
            <w:vAlign w:val="center"/>
          </w:tcPr>
          <w:p w14:paraId="0B45D8D8" w14:textId="77777777" w:rsidR="00410CE6" w:rsidRPr="00B9213B" w:rsidRDefault="00410CE6" w:rsidP="00B9213B">
            <w:pPr>
              <w:pStyle w:val="Akapitzlist"/>
              <w:numPr>
                <w:ilvl w:val="0"/>
                <w:numId w:val="2"/>
              </w:numPr>
              <w:ind w:left="29" w:firstLine="0"/>
              <w:rPr>
                <w:rFonts w:cstheme="minorHAnsi"/>
                <w:sz w:val="20"/>
                <w:szCs w:val="20"/>
              </w:rPr>
            </w:pPr>
          </w:p>
        </w:tc>
        <w:tc>
          <w:tcPr>
            <w:tcW w:w="819" w:type="dxa"/>
            <w:vAlign w:val="center"/>
          </w:tcPr>
          <w:p w14:paraId="119C987C" w14:textId="3D8B8898" w:rsidR="00410CE6" w:rsidRPr="00B9213B" w:rsidRDefault="00410CE6" w:rsidP="00B9213B">
            <w:pPr>
              <w:rPr>
                <w:rFonts w:cstheme="minorHAnsi"/>
                <w:sz w:val="20"/>
                <w:szCs w:val="20"/>
              </w:rPr>
            </w:pPr>
            <w:r w:rsidRPr="00B9213B">
              <w:rPr>
                <w:rFonts w:cstheme="minorHAnsi"/>
                <w:sz w:val="20"/>
                <w:szCs w:val="20"/>
              </w:rPr>
              <w:t>48</w:t>
            </w:r>
          </w:p>
        </w:tc>
        <w:tc>
          <w:tcPr>
            <w:tcW w:w="5419" w:type="dxa"/>
            <w:vAlign w:val="center"/>
          </w:tcPr>
          <w:p w14:paraId="3F92817F" w14:textId="2D0412BA" w:rsidR="00410CE6" w:rsidRPr="00B9213B" w:rsidRDefault="00410CE6" w:rsidP="00B9213B">
            <w:pPr>
              <w:rPr>
                <w:rFonts w:cstheme="minorHAnsi"/>
                <w:sz w:val="20"/>
                <w:szCs w:val="20"/>
              </w:rPr>
            </w:pPr>
            <w:r w:rsidRPr="00B9213B">
              <w:rPr>
                <w:rFonts w:cstheme="minorHAnsi"/>
                <w:sz w:val="20"/>
                <w:szCs w:val="20"/>
              </w:rPr>
              <w:t xml:space="preserve">Tabela 5 – brak wartości wskaźników, ani nawet trendów. Uniemożliwi to ocenę skuteczności realizacji strategii. </w:t>
            </w:r>
          </w:p>
        </w:tc>
        <w:tc>
          <w:tcPr>
            <w:tcW w:w="2937" w:type="dxa"/>
            <w:vAlign w:val="center"/>
          </w:tcPr>
          <w:p w14:paraId="727EC4AB" w14:textId="77777777" w:rsidR="00410CE6" w:rsidRPr="00B9213B" w:rsidRDefault="00410CE6" w:rsidP="00B9213B">
            <w:pPr>
              <w:rPr>
                <w:rFonts w:cstheme="minorHAnsi"/>
                <w:sz w:val="20"/>
                <w:szCs w:val="20"/>
              </w:rPr>
            </w:pPr>
          </w:p>
        </w:tc>
        <w:tc>
          <w:tcPr>
            <w:tcW w:w="1673" w:type="dxa"/>
            <w:vAlign w:val="center"/>
          </w:tcPr>
          <w:p w14:paraId="044BC4AB" w14:textId="0959CD18" w:rsidR="00410CE6" w:rsidRPr="00B9213B" w:rsidRDefault="00A9391F" w:rsidP="00B9213B">
            <w:pPr>
              <w:rPr>
                <w:rFonts w:cstheme="minorHAnsi"/>
                <w:sz w:val="20"/>
                <w:szCs w:val="20"/>
              </w:rPr>
            </w:pPr>
            <w:r w:rsidRPr="00B9213B">
              <w:rPr>
                <w:rFonts w:cstheme="minorHAnsi"/>
                <w:sz w:val="20"/>
                <w:szCs w:val="20"/>
              </w:rPr>
              <w:t>Odrzucono</w:t>
            </w:r>
          </w:p>
        </w:tc>
        <w:tc>
          <w:tcPr>
            <w:tcW w:w="2149" w:type="dxa"/>
            <w:vAlign w:val="center"/>
          </w:tcPr>
          <w:p w14:paraId="69C48100" w14:textId="730787D0" w:rsidR="00410CE6" w:rsidRPr="00B9213B" w:rsidRDefault="00A9391F" w:rsidP="00B9213B">
            <w:pPr>
              <w:rPr>
                <w:rFonts w:cstheme="minorHAnsi"/>
                <w:sz w:val="20"/>
                <w:szCs w:val="20"/>
              </w:rPr>
            </w:pPr>
            <w:r w:rsidRPr="00B9213B">
              <w:rPr>
                <w:rFonts w:cstheme="minorHAnsi"/>
                <w:sz w:val="20"/>
                <w:szCs w:val="20"/>
              </w:rPr>
              <w:t xml:space="preserve">Strategia będzie podlegała okresowym przeglądom realizacji. Każde podsumowanie będzie </w:t>
            </w:r>
            <w:r w:rsidR="00A510FC" w:rsidRPr="00B9213B">
              <w:rPr>
                <w:rFonts w:cstheme="minorHAnsi"/>
                <w:sz w:val="20"/>
                <w:szCs w:val="20"/>
              </w:rPr>
              <w:t xml:space="preserve">polegało m.in. na zestawieniu wartości wskaźników na pierwszy rok obowiązywania Strategii z wartością na moment prowadzenia podsumowania. </w:t>
            </w:r>
            <w:r w:rsidR="00680C8A" w:rsidRPr="00B9213B">
              <w:rPr>
                <w:rFonts w:cstheme="minorHAnsi"/>
                <w:sz w:val="20"/>
                <w:szCs w:val="20"/>
              </w:rPr>
              <w:t>Stąd nie zostały tu ujęte wartości docelowe.</w:t>
            </w:r>
          </w:p>
        </w:tc>
      </w:tr>
      <w:tr w:rsidR="00410CE6" w:rsidRPr="00B9213B" w14:paraId="0CD1C94A" w14:textId="77777777" w:rsidTr="00B611E6">
        <w:tc>
          <w:tcPr>
            <w:tcW w:w="561" w:type="dxa"/>
            <w:vAlign w:val="center"/>
          </w:tcPr>
          <w:p w14:paraId="18F488C1" w14:textId="77777777" w:rsidR="00410CE6" w:rsidRPr="00B9213B" w:rsidRDefault="00410CE6" w:rsidP="00B9213B">
            <w:pPr>
              <w:pStyle w:val="Akapitzlist"/>
              <w:numPr>
                <w:ilvl w:val="0"/>
                <w:numId w:val="2"/>
              </w:numPr>
              <w:ind w:left="29" w:firstLine="0"/>
              <w:rPr>
                <w:rFonts w:cstheme="minorHAnsi"/>
                <w:sz w:val="20"/>
                <w:szCs w:val="20"/>
              </w:rPr>
            </w:pPr>
          </w:p>
        </w:tc>
        <w:tc>
          <w:tcPr>
            <w:tcW w:w="819" w:type="dxa"/>
            <w:vAlign w:val="center"/>
          </w:tcPr>
          <w:p w14:paraId="782F20FD" w14:textId="6723C1B8" w:rsidR="00410CE6" w:rsidRPr="00B9213B" w:rsidRDefault="00410CE6" w:rsidP="00B9213B">
            <w:pPr>
              <w:rPr>
                <w:rFonts w:cstheme="minorHAnsi"/>
                <w:sz w:val="20"/>
                <w:szCs w:val="20"/>
              </w:rPr>
            </w:pPr>
            <w:r w:rsidRPr="00B9213B">
              <w:rPr>
                <w:rFonts w:cstheme="minorHAnsi"/>
                <w:sz w:val="20"/>
                <w:szCs w:val="20"/>
              </w:rPr>
              <w:t>51</w:t>
            </w:r>
          </w:p>
        </w:tc>
        <w:tc>
          <w:tcPr>
            <w:tcW w:w="5419" w:type="dxa"/>
            <w:vAlign w:val="center"/>
          </w:tcPr>
          <w:p w14:paraId="431171B0" w14:textId="61CBA5A1" w:rsidR="00410CE6" w:rsidRPr="00B9213B" w:rsidRDefault="00410CE6" w:rsidP="00B9213B">
            <w:pPr>
              <w:rPr>
                <w:rFonts w:cstheme="minorHAnsi"/>
                <w:sz w:val="20"/>
                <w:szCs w:val="20"/>
              </w:rPr>
            </w:pPr>
            <w:r w:rsidRPr="00B9213B">
              <w:rPr>
                <w:rFonts w:cstheme="minorHAnsi"/>
                <w:sz w:val="20"/>
                <w:szCs w:val="20"/>
              </w:rPr>
              <w:t xml:space="preserve">Błędna liczba szkół podstawowych. </w:t>
            </w:r>
          </w:p>
        </w:tc>
        <w:tc>
          <w:tcPr>
            <w:tcW w:w="2937" w:type="dxa"/>
            <w:vAlign w:val="center"/>
          </w:tcPr>
          <w:p w14:paraId="0F433672" w14:textId="77777777" w:rsidR="00410CE6" w:rsidRPr="00B9213B" w:rsidRDefault="00410CE6" w:rsidP="00B9213B">
            <w:pPr>
              <w:rPr>
                <w:rFonts w:cstheme="minorHAnsi"/>
                <w:sz w:val="20"/>
                <w:szCs w:val="20"/>
              </w:rPr>
            </w:pPr>
          </w:p>
        </w:tc>
        <w:tc>
          <w:tcPr>
            <w:tcW w:w="1673" w:type="dxa"/>
            <w:vAlign w:val="center"/>
          </w:tcPr>
          <w:p w14:paraId="208C6E29" w14:textId="7240489A" w:rsidR="00410CE6" w:rsidRPr="00B9213B" w:rsidRDefault="008603EA" w:rsidP="00B9213B">
            <w:pPr>
              <w:rPr>
                <w:rFonts w:cstheme="minorHAnsi"/>
                <w:sz w:val="20"/>
                <w:szCs w:val="20"/>
              </w:rPr>
            </w:pPr>
            <w:r w:rsidRPr="00B9213B">
              <w:rPr>
                <w:rFonts w:cstheme="minorHAnsi"/>
                <w:sz w:val="20"/>
                <w:szCs w:val="20"/>
              </w:rPr>
              <w:t>Poprawiono</w:t>
            </w:r>
          </w:p>
        </w:tc>
        <w:tc>
          <w:tcPr>
            <w:tcW w:w="2149" w:type="dxa"/>
            <w:vAlign w:val="center"/>
          </w:tcPr>
          <w:p w14:paraId="466ADDF5" w14:textId="31A42820" w:rsidR="00410CE6" w:rsidRPr="00B9213B" w:rsidRDefault="008603EA" w:rsidP="00B9213B">
            <w:pPr>
              <w:rPr>
                <w:rFonts w:cstheme="minorHAnsi"/>
                <w:sz w:val="20"/>
                <w:szCs w:val="20"/>
              </w:rPr>
            </w:pPr>
            <w:r w:rsidRPr="00B9213B">
              <w:rPr>
                <w:rFonts w:cstheme="minorHAnsi"/>
                <w:sz w:val="20"/>
                <w:szCs w:val="20"/>
              </w:rPr>
              <w:t>Oczywisty błąd edycyjny</w:t>
            </w:r>
          </w:p>
        </w:tc>
      </w:tr>
      <w:tr w:rsidR="00410CE6" w:rsidRPr="00B9213B" w14:paraId="2A6A5D59" w14:textId="77777777" w:rsidTr="00B611E6">
        <w:tc>
          <w:tcPr>
            <w:tcW w:w="561" w:type="dxa"/>
            <w:vAlign w:val="center"/>
          </w:tcPr>
          <w:p w14:paraId="2A13A648" w14:textId="77777777" w:rsidR="00410CE6" w:rsidRPr="00B9213B" w:rsidRDefault="00410CE6" w:rsidP="00B9213B">
            <w:pPr>
              <w:pStyle w:val="Akapitzlist"/>
              <w:numPr>
                <w:ilvl w:val="0"/>
                <w:numId w:val="2"/>
              </w:numPr>
              <w:ind w:left="29" w:firstLine="0"/>
              <w:rPr>
                <w:rFonts w:cstheme="minorHAnsi"/>
                <w:sz w:val="20"/>
                <w:szCs w:val="20"/>
              </w:rPr>
            </w:pPr>
          </w:p>
        </w:tc>
        <w:tc>
          <w:tcPr>
            <w:tcW w:w="819" w:type="dxa"/>
            <w:tcBorders>
              <w:top w:val="single" w:sz="4" w:space="0" w:color="auto"/>
              <w:left w:val="single" w:sz="4" w:space="0" w:color="auto"/>
              <w:bottom w:val="single" w:sz="4" w:space="0" w:color="auto"/>
              <w:right w:val="single" w:sz="4" w:space="0" w:color="auto"/>
            </w:tcBorders>
            <w:vAlign w:val="center"/>
          </w:tcPr>
          <w:p w14:paraId="4EDED359" w14:textId="095C72C7" w:rsidR="00410CE6" w:rsidRPr="00B9213B" w:rsidRDefault="00410CE6" w:rsidP="00B9213B">
            <w:pPr>
              <w:rPr>
                <w:rFonts w:cstheme="minorHAnsi"/>
                <w:sz w:val="20"/>
                <w:szCs w:val="20"/>
              </w:rPr>
            </w:pPr>
            <w:r w:rsidRPr="00B9213B">
              <w:rPr>
                <w:rFonts w:cstheme="minorHAnsi"/>
                <w:sz w:val="20"/>
                <w:szCs w:val="20"/>
              </w:rPr>
              <w:t>52</w:t>
            </w:r>
          </w:p>
        </w:tc>
        <w:tc>
          <w:tcPr>
            <w:tcW w:w="5419" w:type="dxa"/>
            <w:tcBorders>
              <w:top w:val="single" w:sz="4" w:space="0" w:color="auto"/>
              <w:left w:val="single" w:sz="4" w:space="0" w:color="auto"/>
              <w:bottom w:val="single" w:sz="4" w:space="0" w:color="auto"/>
              <w:right w:val="single" w:sz="4" w:space="0" w:color="auto"/>
            </w:tcBorders>
            <w:vAlign w:val="center"/>
          </w:tcPr>
          <w:p w14:paraId="67FD7AA0" w14:textId="77777777" w:rsidR="00410CE6" w:rsidRPr="00B9213B" w:rsidRDefault="00410CE6" w:rsidP="00B9213B">
            <w:pPr>
              <w:rPr>
                <w:rFonts w:cstheme="minorHAnsi"/>
                <w:sz w:val="20"/>
                <w:szCs w:val="20"/>
              </w:rPr>
            </w:pPr>
            <w:r w:rsidRPr="00B9213B">
              <w:rPr>
                <w:rFonts w:cstheme="minorHAnsi"/>
                <w:sz w:val="20"/>
                <w:szCs w:val="20"/>
              </w:rPr>
              <w:t xml:space="preserve">W opiniowanym dokumencie zasadnym jest dodanie w części dotyczącej środowiska przyrodniczego (6.3. Uwarunkowania przyrodnicze i hydrologiczne oraz ochrona przyrody), w którym zawarte zostaną ustalenia aktualizacji Planów gospodarowania </w:t>
            </w:r>
            <w:r w:rsidRPr="00B9213B">
              <w:rPr>
                <w:rFonts w:cstheme="minorHAnsi"/>
                <w:sz w:val="20"/>
                <w:szCs w:val="20"/>
              </w:rPr>
              <w:lastRenderedPageBreak/>
              <w:t>wodami zgodnie z art. 326 ust. 1 ustawy Prawo Wodne (Dz.U. z 2021r., poz. 624 z późn. zm.)</w:t>
            </w:r>
          </w:p>
          <w:p w14:paraId="0256339B" w14:textId="77777777" w:rsidR="00410CE6" w:rsidRPr="00B9213B" w:rsidRDefault="00410CE6" w:rsidP="00B9213B">
            <w:pPr>
              <w:rPr>
                <w:rFonts w:cstheme="minorHAnsi"/>
                <w:sz w:val="20"/>
                <w:szCs w:val="20"/>
              </w:rPr>
            </w:pPr>
            <w:r w:rsidRPr="00B9213B">
              <w:rPr>
                <w:rFonts w:cstheme="minorHAnsi"/>
                <w:sz w:val="20"/>
                <w:szCs w:val="20"/>
              </w:rPr>
              <w:t>Na terenie Gminy Śrem w regionie wodnym Warty położonych jest kilka jednolitych części wód rzecznych: Kanał Książ (PLRW600017185529), Kanał Graniczny (PLRW600017185532), Pysząca (PLRW600017185549), Młynisko (PLRW600017185552), Dopływ z Lucin (PLRW60001718556), Dopływ z gaj. Czmoń (PLRW600017185572), Kanał Szymanowo-Grzybno (PLRW600017185589), Olszynka (PLRW600017185694), Warta od Moskawy do Pyszącej (PLRW600021185539), Warta od Pyszącej do Kopli (PLRW60002118573), Racocki Rów (PLRW60002518567299), Głuszynka (PLRW6000251857489), dwie jednolite części wód jeziornych: Grzymisławskie (PLLW10105), Mórka (PLLW10125), oraz trzy jednolite części wód podziemnych: PLGW600060, PLGW600061, PLGW600070.</w:t>
            </w:r>
          </w:p>
          <w:p w14:paraId="40066EDE" w14:textId="77777777" w:rsidR="00410CE6" w:rsidRPr="00B9213B" w:rsidRDefault="00410CE6" w:rsidP="00B9213B">
            <w:pPr>
              <w:rPr>
                <w:rFonts w:cstheme="minorHAnsi"/>
                <w:sz w:val="20"/>
                <w:szCs w:val="20"/>
              </w:rPr>
            </w:pPr>
            <w:r w:rsidRPr="00B9213B">
              <w:rPr>
                <w:rFonts w:cstheme="minorHAnsi"/>
                <w:sz w:val="20"/>
                <w:szCs w:val="20"/>
              </w:rPr>
              <w:t>Zgodnie z obowiązującym planem wszystkie jednolite części wód powierzchniowych są w stanie złym (rzeki i jeziora), a większość z nich jest zagrożona nieosiągnięciem dobrego stanu i posiada odstępstwa od osiągnięcia tego celu - brak możliwości technicznych oraz w przypadku Warty od Moskawy do Pyszącej także z uwagi na dysproporcjonalne koszty. Jedynie Młynisko (PLRW600017185552), Dopływ z Lucin (PLRW60001718556) i Dopływ z gaj. Czmoń (PLRW600017185572) nie są zagrożone i nie posiadają odstępstw. Wszystkie jednolite części wód podziemnych są w dobrym stanie zarówno pod względem chemicznym jak i ilościowym. Wszystkie jednolite części wód</w:t>
            </w:r>
          </w:p>
          <w:p w14:paraId="51D7FEE9" w14:textId="77777777" w:rsidR="00410CE6" w:rsidRPr="00B9213B" w:rsidRDefault="00410CE6" w:rsidP="00B9213B">
            <w:pPr>
              <w:rPr>
                <w:rFonts w:cstheme="minorHAnsi"/>
                <w:sz w:val="20"/>
                <w:szCs w:val="20"/>
              </w:rPr>
            </w:pPr>
            <w:r w:rsidRPr="00B9213B">
              <w:rPr>
                <w:rFonts w:cstheme="minorHAnsi"/>
                <w:sz w:val="20"/>
                <w:szCs w:val="20"/>
              </w:rPr>
              <w:t>Zgodnie z art. 326 ust. 1 ustawy z dnia 20 lipca 2017r. Prawo wodne (Dz.U. 2021 poz. 624 z późn. zm.) ustalenia dokumentów planistycznych, o których mowa w art. 315 pkt 1-3, uwzględnia się w strategii rozwoju gminy.</w:t>
            </w:r>
          </w:p>
          <w:p w14:paraId="665B0D54" w14:textId="77777777" w:rsidR="00410CE6" w:rsidRPr="00B9213B" w:rsidRDefault="00410CE6" w:rsidP="00B9213B">
            <w:pPr>
              <w:rPr>
                <w:rFonts w:cstheme="minorHAnsi"/>
                <w:sz w:val="20"/>
                <w:szCs w:val="20"/>
              </w:rPr>
            </w:pPr>
            <w:r w:rsidRPr="00B9213B">
              <w:rPr>
                <w:rFonts w:cstheme="minorHAnsi"/>
                <w:sz w:val="20"/>
                <w:szCs w:val="20"/>
              </w:rPr>
              <w:t>podziemnych nie posiadają odstępstw, natomiast tylko PLGW600070 jest zagrożona ryzykiem nieosiągnięcia celu środowiskowego .</w:t>
            </w:r>
          </w:p>
          <w:p w14:paraId="4E1B43CE" w14:textId="77777777" w:rsidR="00410CE6" w:rsidRPr="00B9213B" w:rsidRDefault="00410CE6" w:rsidP="00B9213B">
            <w:pPr>
              <w:rPr>
                <w:rFonts w:cstheme="minorHAnsi"/>
                <w:sz w:val="20"/>
                <w:szCs w:val="20"/>
              </w:rPr>
            </w:pPr>
            <w:r w:rsidRPr="00B9213B">
              <w:rPr>
                <w:rFonts w:cstheme="minorHAnsi"/>
                <w:sz w:val="20"/>
                <w:szCs w:val="20"/>
              </w:rPr>
              <w:t xml:space="preserve">Jednocześnie informuje się, że w okresie od 14.04.2021 do 14.10.2021r. prowadzone są, zgodnie z art. 319 ust. 4 pkt 3 ustawy Prawo wodne, konsultacje społeczne II aktualizacji </w:t>
            </w:r>
            <w:r w:rsidRPr="00B9213B">
              <w:rPr>
                <w:rFonts w:cstheme="minorHAnsi"/>
                <w:sz w:val="20"/>
                <w:szCs w:val="20"/>
              </w:rPr>
              <w:lastRenderedPageBreak/>
              <w:t>planów gospodarowania wodami na obszarach dorzeczy na lata 2022-2027, przez Ministra Infrastruktury. Projekt planów wraz ze szczegółowymi informacjami nt. prowadzonych konsultacji społecznych dostępne są na stronie internetowej pod adresem https://apgw.gov.pl/. Z uwagi na położenie Gminy Śrem w granicach regionu wodnego Warty właściwym miejscowo jest projekt II aktualizacji Planu gospodarowania wodami na obszarze dorzecza Odry (https://apgw.gov.pl/pl/konsultacje-projekty-planow).</w:t>
            </w:r>
          </w:p>
          <w:p w14:paraId="07050C15" w14:textId="77777777" w:rsidR="00410CE6" w:rsidRPr="00B9213B" w:rsidRDefault="00410CE6" w:rsidP="00B9213B">
            <w:pPr>
              <w:rPr>
                <w:rFonts w:cstheme="minorHAnsi"/>
                <w:sz w:val="20"/>
                <w:szCs w:val="20"/>
              </w:rPr>
            </w:pPr>
            <w:r w:rsidRPr="00B9213B">
              <w:rPr>
                <w:rFonts w:cstheme="minorHAnsi"/>
                <w:sz w:val="20"/>
                <w:szCs w:val="20"/>
              </w:rPr>
              <w:t>Ponadto informuję się, że w konsultowanym dokumencie jednolite części wód powierzchniowych rzecznych zmieniły kod na:</w:t>
            </w:r>
          </w:p>
          <w:p w14:paraId="555EEA34" w14:textId="67AD37BA" w:rsidR="00410CE6" w:rsidRPr="00B9213B" w:rsidRDefault="00410CE6" w:rsidP="00B9213B">
            <w:pPr>
              <w:rPr>
                <w:rFonts w:cstheme="minorHAnsi"/>
                <w:sz w:val="20"/>
                <w:szCs w:val="20"/>
              </w:rPr>
            </w:pPr>
            <w:r w:rsidRPr="00B9213B">
              <w:rPr>
                <w:rFonts w:cstheme="minorHAnsi"/>
                <w:sz w:val="20"/>
                <w:szCs w:val="20"/>
              </w:rPr>
              <w:t>Kanał Książ (PLRW600010185529), Kanał Graniczny (PLRW600010185532), Pysząca (PLRW600010185549), Kanał Szymanowo-Grzybno (PLRW600010185589) i Głuszynka (PLRW6000181857489), trzy (Młynisko, Dopływ z gaj. Czmoń oraz Warta od Moskawy do Pyszącej) tworzyć będą Wartę od Lutyni do Młyniska (PLRW600012185551) a dwie (Dopływ z Lucin oraz Warta od Pyszącej do Kopli) tworzyć będą Wartę od Młyniska do Kopli (PLRW60001218573). Ponadto jednolite: Olszynka zmieniła kod na PLRW6000101856949 przy czym część jej obszaru przeszła do Kanału Mosińskiego od Obrzańskiego Kanału Południowego do ujścia oraz jednolita Racocki Rów zmieniła kod na PLRW60001818567299 przy czym część jej obszaru przeszła do Kanału Szymanowo-Grzybno.</w:t>
            </w:r>
          </w:p>
        </w:tc>
        <w:tc>
          <w:tcPr>
            <w:tcW w:w="2937" w:type="dxa"/>
            <w:tcBorders>
              <w:top w:val="single" w:sz="4" w:space="0" w:color="auto"/>
              <w:left w:val="single" w:sz="4" w:space="0" w:color="auto"/>
              <w:bottom w:val="single" w:sz="4" w:space="0" w:color="auto"/>
              <w:right w:val="single" w:sz="4" w:space="0" w:color="auto"/>
            </w:tcBorders>
            <w:vAlign w:val="center"/>
          </w:tcPr>
          <w:p w14:paraId="354BA3CF" w14:textId="56DE5D67" w:rsidR="00410CE6" w:rsidRPr="00B9213B" w:rsidRDefault="00410CE6" w:rsidP="00B9213B">
            <w:pPr>
              <w:rPr>
                <w:rFonts w:cstheme="minorHAnsi"/>
                <w:sz w:val="20"/>
                <w:szCs w:val="20"/>
              </w:rPr>
            </w:pPr>
            <w:r w:rsidRPr="00B9213B">
              <w:rPr>
                <w:rFonts w:cstheme="minorHAnsi"/>
                <w:sz w:val="20"/>
                <w:szCs w:val="20"/>
              </w:rPr>
              <w:lastRenderedPageBreak/>
              <w:t xml:space="preserve">Zgodnie z art. 326 ust. 1 ustawy z dnia 20 lipca 2017r. Prawo wodne (Dz.U. 2021 poz. 624 z późn. zm.) ustalenia </w:t>
            </w:r>
            <w:r w:rsidRPr="00B9213B">
              <w:rPr>
                <w:rFonts w:cstheme="minorHAnsi"/>
                <w:sz w:val="20"/>
                <w:szCs w:val="20"/>
              </w:rPr>
              <w:lastRenderedPageBreak/>
              <w:t>dokumentów planistycznych, o których mowa w art. 315 pkt 1-3, uwzględnia się w strategii rozwoju gminy.</w:t>
            </w:r>
          </w:p>
        </w:tc>
        <w:tc>
          <w:tcPr>
            <w:tcW w:w="1673" w:type="dxa"/>
            <w:vAlign w:val="center"/>
          </w:tcPr>
          <w:p w14:paraId="31D80AA6" w14:textId="58DB66D3" w:rsidR="00410CE6" w:rsidRPr="00B9213B" w:rsidRDefault="00476762" w:rsidP="00B9213B">
            <w:pPr>
              <w:rPr>
                <w:rFonts w:cstheme="minorHAnsi"/>
                <w:sz w:val="20"/>
                <w:szCs w:val="20"/>
              </w:rPr>
            </w:pPr>
            <w:r>
              <w:rPr>
                <w:rFonts w:cstheme="minorHAnsi"/>
                <w:sz w:val="20"/>
                <w:szCs w:val="20"/>
              </w:rPr>
              <w:lastRenderedPageBreak/>
              <w:t>Uwzględniono</w:t>
            </w:r>
          </w:p>
        </w:tc>
        <w:tc>
          <w:tcPr>
            <w:tcW w:w="2149" w:type="dxa"/>
            <w:vAlign w:val="center"/>
          </w:tcPr>
          <w:p w14:paraId="481D62F6" w14:textId="6D578F67" w:rsidR="00410CE6" w:rsidRPr="00B9213B" w:rsidRDefault="00476762" w:rsidP="00B9213B">
            <w:pPr>
              <w:rPr>
                <w:rFonts w:cstheme="minorHAnsi"/>
                <w:sz w:val="20"/>
                <w:szCs w:val="20"/>
              </w:rPr>
            </w:pPr>
            <w:r>
              <w:rPr>
                <w:rFonts w:cstheme="minorHAnsi"/>
                <w:sz w:val="20"/>
                <w:szCs w:val="20"/>
              </w:rPr>
              <w:t>Uzupełniono w zapisie w punkcie 6.3</w:t>
            </w:r>
          </w:p>
        </w:tc>
      </w:tr>
      <w:tr w:rsidR="00410CE6" w:rsidRPr="00B9213B" w14:paraId="6F19974D" w14:textId="77777777" w:rsidTr="00B611E6">
        <w:tc>
          <w:tcPr>
            <w:tcW w:w="561" w:type="dxa"/>
            <w:vAlign w:val="center"/>
          </w:tcPr>
          <w:p w14:paraId="0C9C9CD5" w14:textId="77777777" w:rsidR="00410CE6" w:rsidRPr="00B9213B" w:rsidRDefault="00410CE6" w:rsidP="00B9213B">
            <w:pPr>
              <w:pStyle w:val="Akapitzlist"/>
              <w:numPr>
                <w:ilvl w:val="0"/>
                <w:numId w:val="2"/>
              </w:numPr>
              <w:ind w:left="29" w:firstLine="0"/>
              <w:rPr>
                <w:rFonts w:cstheme="minorHAnsi"/>
                <w:sz w:val="20"/>
                <w:szCs w:val="20"/>
              </w:rPr>
            </w:pPr>
          </w:p>
        </w:tc>
        <w:tc>
          <w:tcPr>
            <w:tcW w:w="819" w:type="dxa"/>
            <w:tcBorders>
              <w:top w:val="single" w:sz="4" w:space="0" w:color="auto"/>
              <w:left w:val="single" w:sz="4" w:space="0" w:color="auto"/>
              <w:bottom w:val="single" w:sz="4" w:space="0" w:color="auto"/>
              <w:right w:val="single" w:sz="4" w:space="0" w:color="auto"/>
            </w:tcBorders>
            <w:vAlign w:val="center"/>
          </w:tcPr>
          <w:p w14:paraId="6F394DC6" w14:textId="77777777" w:rsidR="00410CE6" w:rsidRPr="00B9213B" w:rsidRDefault="00410CE6" w:rsidP="00B9213B">
            <w:pPr>
              <w:rPr>
                <w:rFonts w:cstheme="minorHAnsi"/>
                <w:sz w:val="20"/>
                <w:szCs w:val="20"/>
              </w:rPr>
            </w:pPr>
          </w:p>
        </w:tc>
        <w:tc>
          <w:tcPr>
            <w:tcW w:w="5419" w:type="dxa"/>
            <w:tcBorders>
              <w:top w:val="single" w:sz="4" w:space="0" w:color="auto"/>
              <w:left w:val="single" w:sz="4" w:space="0" w:color="auto"/>
              <w:bottom w:val="single" w:sz="4" w:space="0" w:color="auto"/>
              <w:right w:val="single" w:sz="4" w:space="0" w:color="auto"/>
            </w:tcBorders>
            <w:vAlign w:val="center"/>
          </w:tcPr>
          <w:p w14:paraId="3E7C933E" w14:textId="77777777" w:rsidR="00410CE6" w:rsidRPr="00B9213B" w:rsidRDefault="00410CE6" w:rsidP="00B9213B">
            <w:pPr>
              <w:rPr>
                <w:rFonts w:cstheme="minorHAnsi"/>
                <w:sz w:val="20"/>
                <w:szCs w:val="20"/>
              </w:rPr>
            </w:pPr>
            <w:r w:rsidRPr="00B9213B">
              <w:rPr>
                <w:rFonts w:cstheme="minorHAnsi"/>
                <w:sz w:val="20"/>
                <w:szCs w:val="20"/>
              </w:rPr>
              <w:t xml:space="preserve">Proponuje się, aby w Strategii uwzględnić działania odnoszące się do adaptacji gminy do zmian klimatu. W ramach tego kierunku należy uwzględnić m.in. konieczność zachowania naturalnej zdolności retencyjnej gruntów - czynnika szczególnie istotnego w kontekście kształtowania stanu zasobów wodnych, przeciwdziałania występowaniu zjawisk ekstremalnych oraz adaptacji do zmian klimatu. Strategia powinna uwzględniać szerszy katalog działań w ww. zakresie, tj. poza wpisanymi do projektu Strategii działaniami polegającymi na modernizacji kanalizacji deszczowej i budowie zbiorników retencyjnych, w Strategii należy wskazać również inne działania w zakresie rozwoju tzw. niebieskiej i zielonej infrastruktury w kontekście </w:t>
            </w:r>
            <w:r w:rsidRPr="00B9213B">
              <w:rPr>
                <w:rFonts w:cstheme="minorHAnsi"/>
                <w:sz w:val="20"/>
                <w:szCs w:val="20"/>
              </w:rPr>
              <w:lastRenderedPageBreak/>
              <w:t>adaptacji do zmian klimatu oraz działania dot. promowania/wsparcia rozwiązań w zakresie zwiększania retencji, w tym zagospodarowania wód opadowych i roztopowych na terenie prywatnych posesji przy budynkach mieszkalnych i na terenach prywatnych przedsiębiorstw.</w:t>
            </w:r>
          </w:p>
          <w:p w14:paraId="4C2984D8" w14:textId="77777777" w:rsidR="00410CE6" w:rsidRPr="00B9213B" w:rsidRDefault="00410CE6" w:rsidP="00B9213B">
            <w:pPr>
              <w:rPr>
                <w:rFonts w:cstheme="minorHAnsi"/>
                <w:sz w:val="20"/>
                <w:szCs w:val="20"/>
              </w:rPr>
            </w:pPr>
            <w:r w:rsidRPr="00B9213B">
              <w:rPr>
                <w:rFonts w:cstheme="minorHAnsi"/>
                <w:sz w:val="20"/>
                <w:szCs w:val="20"/>
              </w:rPr>
              <w:t>Przykłady rozwiązań do zastosowania:</w:t>
            </w:r>
          </w:p>
          <w:p w14:paraId="6FDA2BB5" w14:textId="77777777" w:rsidR="00410CE6" w:rsidRPr="00B9213B" w:rsidRDefault="00410CE6" w:rsidP="00B9213B">
            <w:pPr>
              <w:rPr>
                <w:rFonts w:cstheme="minorHAnsi"/>
                <w:sz w:val="20"/>
                <w:szCs w:val="20"/>
              </w:rPr>
            </w:pPr>
            <w:r w:rsidRPr="00B9213B">
              <w:rPr>
                <w:rFonts w:cstheme="minorHAnsi"/>
                <w:sz w:val="20"/>
                <w:szCs w:val="20"/>
              </w:rPr>
              <w:t>- stosowanie powierzchni przepuszczalnych ze żwiru/pospółki, powierzchni ażurowych zamiast szczelnych powierzchni betonowych;</w:t>
            </w:r>
          </w:p>
          <w:p w14:paraId="1FCBA568" w14:textId="77777777" w:rsidR="00410CE6" w:rsidRPr="00B9213B" w:rsidRDefault="00410CE6" w:rsidP="00B9213B">
            <w:pPr>
              <w:rPr>
                <w:rFonts w:cstheme="minorHAnsi"/>
                <w:sz w:val="20"/>
                <w:szCs w:val="20"/>
              </w:rPr>
            </w:pPr>
            <w:r w:rsidRPr="00B9213B">
              <w:rPr>
                <w:rFonts w:cstheme="minorHAnsi"/>
                <w:sz w:val="20"/>
                <w:szCs w:val="20"/>
              </w:rPr>
              <w:t>Zgodnie z § 6 rozporządzenia Dyrektora Regionalnego Zarządu Gospodarki Wodnej w Poznaniu z dnia 2 kwietnia 2014 r. w sprawie warunków korzystania z wód regionu wodnego Warty (Dz.Urz.Woj.Wielkopolskiego 2014.2129), zmienionego rozporządzeniem Dyrektora Regionalnego Zarządu Gospodarki Wodnej w Poznaniu z dnia 17 lipca 2017 r. zmieniającego rozporządzenie w sprawie warunków korzystania z wód regionu wodnego Warty (Dz.Urz.Woj.Wielkopolskiego 2017.5165) „ustala się wymóg ochrony naturalnej zdolności retencyjnej gruntów, zapobiegający jej nieuzasadnionemu ograniczaniu”. Jednocześnie w myśl § 12 ust. 1 ww. rozporządzenia „dopuszcza</w:t>
            </w:r>
          </w:p>
          <w:p w14:paraId="62955AED" w14:textId="77777777" w:rsidR="00410CE6" w:rsidRPr="00B9213B" w:rsidRDefault="00410CE6" w:rsidP="00B9213B">
            <w:pPr>
              <w:rPr>
                <w:rFonts w:cstheme="minorHAnsi"/>
                <w:sz w:val="20"/>
                <w:szCs w:val="20"/>
              </w:rPr>
            </w:pPr>
            <w:r w:rsidRPr="00B9213B">
              <w:rPr>
                <w:rFonts w:cstheme="minorHAnsi"/>
                <w:sz w:val="20"/>
                <w:szCs w:val="20"/>
              </w:rPr>
              <w:t>- zagospodarowanie wód opadowych i roztopowych w sposób minimalizujący utratę naturalnej retencji lub spowolniający odpływ odprowadzanych wód (np. poprzez zbiorniki retencyjno–infiltracyjne; zastosowanie drenaży lub skrzynek rozsączających itp.);</w:t>
            </w:r>
          </w:p>
          <w:p w14:paraId="16CE0F44" w14:textId="77777777" w:rsidR="00410CE6" w:rsidRPr="00B9213B" w:rsidRDefault="00410CE6" w:rsidP="00B9213B">
            <w:pPr>
              <w:rPr>
                <w:rFonts w:cstheme="minorHAnsi"/>
                <w:sz w:val="20"/>
                <w:szCs w:val="20"/>
              </w:rPr>
            </w:pPr>
            <w:r w:rsidRPr="00B9213B">
              <w:rPr>
                <w:rFonts w:cstheme="minorHAnsi"/>
                <w:sz w:val="20"/>
                <w:szCs w:val="20"/>
              </w:rPr>
              <w:t>- sadzenie kwietnych łąk zamiast trawników;</w:t>
            </w:r>
          </w:p>
          <w:p w14:paraId="7A2C5D05" w14:textId="77777777" w:rsidR="00410CE6" w:rsidRPr="00B9213B" w:rsidRDefault="00410CE6" w:rsidP="00B9213B">
            <w:pPr>
              <w:rPr>
                <w:rFonts w:cstheme="minorHAnsi"/>
                <w:sz w:val="20"/>
                <w:szCs w:val="20"/>
              </w:rPr>
            </w:pPr>
            <w:r w:rsidRPr="00B9213B">
              <w:rPr>
                <w:rFonts w:cstheme="minorHAnsi"/>
                <w:sz w:val="20"/>
                <w:szCs w:val="20"/>
              </w:rPr>
              <w:t>- zakładanie terenów zielonych w miastach;</w:t>
            </w:r>
          </w:p>
          <w:p w14:paraId="12F9874C" w14:textId="77777777" w:rsidR="00410CE6" w:rsidRPr="00B9213B" w:rsidRDefault="00410CE6" w:rsidP="00B9213B">
            <w:pPr>
              <w:rPr>
                <w:rFonts w:cstheme="minorHAnsi"/>
                <w:sz w:val="20"/>
                <w:szCs w:val="20"/>
              </w:rPr>
            </w:pPr>
            <w:r w:rsidRPr="00B9213B">
              <w:rPr>
                <w:rFonts w:cstheme="minorHAnsi"/>
                <w:sz w:val="20"/>
                <w:szCs w:val="20"/>
              </w:rPr>
              <w:t>- zakładanie zielonych dachów i zielonych ścian na budynkach;</w:t>
            </w:r>
          </w:p>
          <w:p w14:paraId="09C83977" w14:textId="77777777" w:rsidR="00410CE6" w:rsidRPr="00B9213B" w:rsidRDefault="00410CE6" w:rsidP="00B9213B">
            <w:pPr>
              <w:rPr>
                <w:rFonts w:cstheme="minorHAnsi"/>
                <w:sz w:val="20"/>
                <w:szCs w:val="20"/>
              </w:rPr>
            </w:pPr>
            <w:r w:rsidRPr="00B9213B">
              <w:rPr>
                <w:rFonts w:cstheme="minorHAnsi"/>
                <w:sz w:val="20"/>
                <w:szCs w:val="20"/>
              </w:rPr>
              <w:t>- zakładanie ogrodów deszczowych zasilanych deszczówką w miastach i przy domach;</w:t>
            </w:r>
          </w:p>
          <w:p w14:paraId="61514F50" w14:textId="77777777" w:rsidR="00410CE6" w:rsidRPr="00B9213B" w:rsidRDefault="00410CE6" w:rsidP="00B9213B">
            <w:pPr>
              <w:rPr>
                <w:rFonts w:cstheme="minorHAnsi"/>
                <w:sz w:val="20"/>
                <w:szCs w:val="20"/>
              </w:rPr>
            </w:pPr>
            <w:r w:rsidRPr="00B9213B">
              <w:rPr>
                <w:rFonts w:cstheme="minorHAnsi"/>
                <w:sz w:val="20"/>
                <w:szCs w:val="20"/>
              </w:rPr>
              <w:t>- zakładanie oczek wodnych w przestrzeniach miejskich i w przydomowych ogrodach.</w:t>
            </w:r>
          </w:p>
          <w:p w14:paraId="075C9C0A" w14:textId="77777777" w:rsidR="00410CE6" w:rsidRPr="00B9213B" w:rsidRDefault="00410CE6" w:rsidP="00B9213B">
            <w:pPr>
              <w:rPr>
                <w:rFonts w:cstheme="minorHAnsi"/>
                <w:sz w:val="20"/>
                <w:szCs w:val="20"/>
              </w:rPr>
            </w:pPr>
            <w:r w:rsidRPr="00B9213B">
              <w:rPr>
                <w:rFonts w:cstheme="minorHAnsi"/>
                <w:sz w:val="20"/>
                <w:szCs w:val="20"/>
              </w:rPr>
              <w:t>W kontekście kształtowania stanu zasobów wodnych, przeciwdziałania występowaniu zjawisk ekstremalnych oraz adaptacji do zmian klimatu, Strategia powinna również uwzględniać:</w:t>
            </w:r>
          </w:p>
          <w:p w14:paraId="06DAD54C" w14:textId="77777777" w:rsidR="00410CE6" w:rsidRPr="00B9213B" w:rsidRDefault="00410CE6" w:rsidP="00B9213B">
            <w:pPr>
              <w:rPr>
                <w:rFonts w:cstheme="minorHAnsi"/>
                <w:sz w:val="20"/>
                <w:szCs w:val="20"/>
              </w:rPr>
            </w:pPr>
            <w:r w:rsidRPr="00B9213B">
              <w:rPr>
                <w:rFonts w:cstheme="minorHAnsi"/>
                <w:sz w:val="20"/>
                <w:szCs w:val="20"/>
              </w:rPr>
              <w:lastRenderedPageBreak/>
              <w:t>- wprowadzenie i egzekwowanie standardów ochrony zieleni w procesie inwestycyjnym, obejmujących m.in. ograniczenie likwidacji terenów zieleni i wycinki drzew przy realizacji nowych inwestycji;</w:t>
            </w:r>
          </w:p>
          <w:p w14:paraId="143577CA" w14:textId="77777777" w:rsidR="00410CE6" w:rsidRPr="00B9213B" w:rsidRDefault="00410CE6" w:rsidP="00B9213B">
            <w:pPr>
              <w:rPr>
                <w:rFonts w:cstheme="minorHAnsi"/>
                <w:sz w:val="20"/>
                <w:szCs w:val="20"/>
              </w:rPr>
            </w:pPr>
            <w:r w:rsidRPr="00B9213B">
              <w:rPr>
                <w:rFonts w:cstheme="minorHAnsi"/>
                <w:sz w:val="20"/>
                <w:szCs w:val="20"/>
              </w:rPr>
              <w:t>- unikanie „betonowania” przestrzeni - stosowanie powierzchni przepuszczalnych, powierzchni ażurowych zamiast szczelnych powierzchni betonowych;</w:t>
            </w:r>
          </w:p>
          <w:p w14:paraId="0469A031" w14:textId="6241362E" w:rsidR="00410CE6" w:rsidRPr="00B9213B" w:rsidRDefault="00410CE6" w:rsidP="00B9213B">
            <w:pPr>
              <w:rPr>
                <w:rFonts w:cstheme="minorHAnsi"/>
                <w:sz w:val="20"/>
                <w:szCs w:val="20"/>
              </w:rPr>
            </w:pPr>
            <w:r w:rsidRPr="00B9213B">
              <w:rPr>
                <w:rFonts w:cstheme="minorHAnsi"/>
                <w:sz w:val="20"/>
                <w:szCs w:val="20"/>
              </w:rPr>
              <w:t>- uwzględnienie ww. aspektów w planowaniu przestrzennym oraz przy wydawaniu decyzji administracyjnych, w celu ochrony terenów zieleni przed presją zabudowy i „betonowaniem” nieruchomości.</w:t>
            </w:r>
          </w:p>
        </w:tc>
        <w:tc>
          <w:tcPr>
            <w:tcW w:w="2937" w:type="dxa"/>
            <w:tcBorders>
              <w:top w:val="single" w:sz="4" w:space="0" w:color="auto"/>
              <w:left w:val="single" w:sz="4" w:space="0" w:color="auto"/>
              <w:bottom w:val="single" w:sz="4" w:space="0" w:color="auto"/>
              <w:right w:val="single" w:sz="4" w:space="0" w:color="auto"/>
            </w:tcBorders>
            <w:vAlign w:val="center"/>
          </w:tcPr>
          <w:p w14:paraId="24FA6CE3" w14:textId="77777777" w:rsidR="00410CE6" w:rsidRPr="00B9213B" w:rsidRDefault="00410CE6" w:rsidP="00B9213B">
            <w:pPr>
              <w:rPr>
                <w:rFonts w:cstheme="minorHAnsi"/>
                <w:sz w:val="20"/>
                <w:szCs w:val="20"/>
              </w:rPr>
            </w:pPr>
            <w:r w:rsidRPr="00B9213B">
              <w:rPr>
                <w:rFonts w:cstheme="minorHAnsi"/>
                <w:sz w:val="20"/>
                <w:szCs w:val="20"/>
              </w:rPr>
              <w:lastRenderedPageBreak/>
              <w:t xml:space="preserve">Zgodnie z § 6 rozporządzenia Dyrektora Regionalnego Zarządu Gospodarki Wodnej w Poznaniu z dnia 2 kwietnia 2014 r. w sprawie warunków korzystania z wód regionu wodnego Warty (Dz.Urz.Woj.Wielkopolskiego 2014.2129), zmienionego rozporządzeniem Dyrektora Regionalnego Zarządu Gospodarki Wodnej w Poznaniu z dnia 17 lipca 2017 r. </w:t>
            </w:r>
            <w:r w:rsidRPr="00B9213B">
              <w:rPr>
                <w:rFonts w:cstheme="minorHAnsi"/>
                <w:sz w:val="20"/>
                <w:szCs w:val="20"/>
              </w:rPr>
              <w:lastRenderedPageBreak/>
              <w:t>zmieniającego rozporządzenie w sprawie warunków korzystania z wód regionu wodnego Warty (Dz.Urz.Woj.Wielkopolskiego 2017.5165) „ustala się wymóg ochrony naturalnej zdolności retencyjnej gruntów, zapobiegający jej nieuzasadnionemu ograniczaniu”. Jednocześnie w myśl § 12 ust. 1 ww. rozporządzenia „dopuszcza się bezpośrednie odprowadzanie wód z odwodnienia gruntów oraz wód opadowych lub roztopowych ujętych w systemy kanalizacyjne, jeżeli zastosowano rozwiązania minimalizujące utratę naturalnej retencji lub spowolniające odpływ odprowadzanych wód i przywracające w możliwym zakresie naturalny, gruntowy charakter ich odpływu”.</w:t>
            </w:r>
          </w:p>
          <w:p w14:paraId="633323A2" w14:textId="363018A8" w:rsidR="00410CE6" w:rsidRPr="00B9213B" w:rsidRDefault="00410CE6" w:rsidP="00B9213B">
            <w:pPr>
              <w:rPr>
                <w:rFonts w:cstheme="minorHAnsi"/>
                <w:sz w:val="20"/>
                <w:szCs w:val="20"/>
              </w:rPr>
            </w:pPr>
            <w:r w:rsidRPr="00B9213B">
              <w:rPr>
                <w:rFonts w:cstheme="minorHAnsi"/>
                <w:sz w:val="20"/>
                <w:szCs w:val="20"/>
              </w:rPr>
              <w:t>Uwzględnienie wymogów ww. rozporządzenia w zakresie retencjowania wód oraz nacisk na rozwój niebieskiej i zielonej infrastruktury, przyczyni się do zwiększania odporności gminy na zagrożenia związane ze zmianami klimatu (susza, podtopienia, powodzie „błyskawiczne”).</w:t>
            </w:r>
          </w:p>
        </w:tc>
        <w:tc>
          <w:tcPr>
            <w:tcW w:w="1673" w:type="dxa"/>
            <w:vAlign w:val="center"/>
          </w:tcPr>
          <w:p w14:paraId="3BEAE1A8" w14:textId="7DB20CAF" w:rsidR="00410CE6" w:rsidRPr="00B9213B" w:rsidRDefault="008603EA" w:rsidP="00B9213B">
            <w:pPr>
              <w:rPr>
                <w:rFonts w:cstheme="minorHAnsi"/>
                <w:sz w:val="20"/>
                <w:szCs w:val="20"/>
              </w:rPr>
            </w:pPr>
            <w:r w:rsidRPr="00B9213B">
              <w:rPr>
                <w:rFonts w:cstheme="minorHAnsi"/>
                <w:sz w:val="20"/>
                <w:szCs w:val="20"/>
              </w:rPr>
              <w:lastRenderedPageBreak/>
              <w:t>Uwzględniono</w:t>
            </w:r>
          </w:p>
        </w:tc>
        <w:tc>
          <w:tcPr>
            <w:tcW w:w="2149" w:type="dxa"/>
            <w:vAlign w:val="center"/>
          </w:tcPr>
          <w:p w14:paraId="3CDFC1C6" w14:textId="2D19BD37" w:rsidR="00410CE6" w:rsidRPr="00B9213B" w:rsidRDefault="00476762" w:rsidP="00B9213B">
            <w:pPr>
              <w:rPr>
                <w:rFonts w:cstheme="minorHAnsi"/>
                <w:sz w:val="20"/>
                <w:szCs w:val="20"/>
              </w:rPr>
            </w:pPr>
            <w:r>
              <w:rPr>
                <w:rFonts w:cstheme="minorHAnsi"/>
                <w:sz w:val="20"/>
                <w:szCs w:val="20"/>
              </w:rPr>
              <w:t>Zgodnie z punktem 12 niniejszej tabeli</w:t>
            </w:r>
          </w:p>
        </w:tc>
      </w:tr>
      <w:tr w:rsidR="00410CE6" w:rsidRPr="00B9213B" w14:paraId="00EC1E6E" w14:textId="77777777" w:rsidTr="00B611E6">
        <w:tc>
          <w:tcPr>
            <w:tcW w:w="561" w:type="dxa"/>
            <w:vAlign w:val="center"/>
          </w:tcPr>
          <w:p w14:paraId="1D2FA8AA" w14:textId="77777777" w:rsidR="00410CE6" w:rsidRPr="00B9213B" w:rsidRDefault="00410CE6" w:rsidP="00B9213B">
            <w:pPr>
              <w:ind w:left="29"/>
              <w:rPr>
                <w:rFonts w:cstheme="minorHAnsi"/>
                <w:sz w:val="20"/>
                <w:szCs w:val="20"/>
              </w:rPr>
            </w:pPr>
          </w:p>
        </w:tc>
        <w:tc>
          <w:tcPr>
            <w:tcW w:w="819" w:type="dxa"/>
            <w:tcBorders>
              <w:top w:val="single" w:sz="4" w:space="0" w:color="auto"/>
              <w:left w:val="single" w:sz="4" w:space="0" w:color="auto"/>
              <w:bottom w:val="single" w:sz="4" w:space="0" w:color="auto"/>
              <w:right w:val="single" w:sz="4" w:space="0" w:color="auto"/>
            </w:tcBorders>
            <w:vAlign w:val="center"/>
          </w:tcPr>
          <w:p w14:paraId="486647D1" w14:textId="77777777" w:rsidR="00410CE6" w:rsidRPr="00B9213B" w:rsidRDefault="00410CE6" w:rsidP="00B9213B">
            <w:pPr>
              <w:rPr>
                <w:rFonts w:cstheme="minorHAnsi"/>
                <w:sz w:val="20"/>
                <w:szCs w:val="20"/>
              </w:rPr>
            </w:pPr>
          </w:p>
        </w:tc>
        <w:tc>
          <w:tcPr>
            <w:tcW w:w="5419" w:type="dxa"/>
            <w:tcBorders>
              <w:top w:val="single" w:sz="4" w:space="0" w:color="auto"/>
              <w:left w:val="single" w:sz="4" w:space="0" w:color="auto"/>
              <w:bottom w:val="single" w:sz="4" w:space="0" w:color="auto"/>
              <w:right w:val="single" w:sz="4" w:space="0" w:color="auto"/>
            </w:tcBorders>
            <w:vAlign w:val="center"/>
          </w:tcPr>
          <w:p w14:paraId="0AFF261D" w14:textId="77777777" w:rsidR="00410CE6" w:rsidRPr="00B9213B" w:rsidRDefault="00410CE6" w:rsidP="00B9213B">
            <w:pPr>
              <w:rPr>
                <w:rFonts w:cstheme="minorHAnsi"/>
                <w:sz w:val="20"/>
                <w:szCs w:val="20"/>
              </w:rPr>
            </w:pPr>
            <w:r w:rsidRPr="00B9213B">
              <w:rPr>
                <w:rFonts w:cstheme="minorHAnsi"/>
                <w:sz w:val="20"/>
                <w:szCs w:val="20"/>
              </w:rPr>
              <w:t>Zgodnie z art. 172 ustawy z dnia 20 lipca 2017 r. Prawo wodne (Dz. U. z 2021 r., poz. 624 ze zm.) na podstawie map zagrożenia powodziowego i map ryzyka powodziowego przygotowuje się – z uwzględnieniem podziału kraju na obszary dorzeczy oraz regiony wodne – plany zarządzania ryzykiem powodziowym (PZRP). Dokumenty te obejmują wszystkie elementy zarządzania ryzykiem powodziowym, określone w art. 163 ust. 6 przedmiotowej ustawy, w szczególności działania służące zapobieganiu powodzi, ochronie przed powodzią oraz informacji na temat stanu należytego przygotowania w przypadku wystąpienia powodzi. Głównym celem PZRP jest ograniczenie potencjalnych negatywnych skutków powodzi dla życia i zdrowia ludzi, środowiska, dziedzictwa kulturowego oraz działalności gospodarczej poprzez realizację działań służących minimalizacji zidentyfikowanych zagrożeń i obniżeniu strat powodziowych. Projekty planów zarządzania ryzykiem powodziowym przygotowują Wody Polskie w uzgodnieniu z właściwymi wojewodami oraz po zasięgnięciu opinii marszałków województw, które następnie przekazują ministrowi właściwemu do spraw gospodarki wodnej. Zapewniając aktywny</w:t>
            </w:r>
          </w:p>
          <w:p w14:paraId="7965E5B2" w14:textId="77777777" w:rsidR="00410CE6" w:rsidRPr="00B9213B" w:rsidRDefault="00410CE6" w:rsidP="00B9213B">
            <w:pPr>
              <w:rPr>
                <w:rFonts w:cstheme="minorHAnsi"/>
                <w:sz w:val="20"/>
                <w:szCs w:val="20"/>
              </w:rPr>
            </w:pPr>
            <w:r w:rsidRPr="00B9213B">
              <w:rPr>
                <w:rFonts w:cstheme="minorHAnsi"/>
                <w:sz w:val="20"/>
                <w:szCs w:val="20"/>
              </w:rPr>
              <w:t>Zgodnie z art. 326 ust. 1 ustawy z dnia 20 lipca 2017r. Prawo wodne (Dz.U. 2021 poz. 624 z późn. zm.) ustalenia dokumentów planistycznych, o których mowa w art. 315 pkt 1-3, uwzględnia się w strategii rozwoju gminy.</w:t>
            </w:r>
          </w:p>
          <w:p w14:paraId="5529E296" w14:textId="77777777" w:rsidR="00410CE6" w:rsidRPr="00B9213B" w:rsidRDefault="00410CE6" w:rsidP="00B9213B">
            <w:pPr>
              <w:rPr>
                <w:rFonts w:cstheme="minorHAnsi"/>
                <w:sz w:val="20"/>
                <w:szCs w:val="20"/>
              </w:rPr>
            </w:pPr>
            <w:r w:rsidRPr="00B9213B">
              <w:rPr>
                <w:rFonts w:cstheme="minorHAnsi"/>
                <w:sz w:val="20"/>
                <w:szCs w:val="20"/>
              </w:rPr>
              <w:lastRenderedPageBreak/>
              <w:t>udział wszystkich zainteresowanych w osiągnięciu celów zarządzania ryzykiem powodziowym, minister właściwy do spraw gospodarki wodnej co najmniej na rok przed rozpoczęciem okresu, którego dotyczą PZRP podaje do publicznej wiadomości ich projekt, w celu zgłaszania ewentualnych zastrzeżeń. Pisemne uwagi do ustaleń zawartych w opublikowanych dokumentach, zainteresowani mogą składać w terminie 6 miesięcy. Plany zarządzania ryzykiem powodziowym zostają przyjęte w drodze rozporządzenia wydanego przez ministra właściwego do spraw gospodarki wodnej. Podlegają one przeglądowi co 6 lat, a w razie potrzeby zostaje dokonana ich aktualizacja.</w:t>
            </w:r>
          </w:p>
          <w:p w14:paraId="42E67753" w14:textId="77777777" w:rsidR="00410CE6" w:rsidRPr="00B9213B" w:rsidRDefault="00410CE6" w:rsidP="00B9213B">
            <w:pPr>
              <w:rPr>
                <w:rFonts w:cstheme="minorHAnsi"/>
                <w:sz w:val="20"/>
                <w:szCs w:val="20"/>
              </w:rPr>
            </w:pPr>
            <w:r w:rsidRPr="00B9213B">
              <w:rPr>
                <w:rFonts w:cstheme="minorHAnsi"/>
                <w:sz w:val="20"/>
                <w:szCs w:val="20"/>
              </w:rPr>
              <w:t>Aktualnie do przedmiotowego terenu odnosi się Plan zarządzania ryzykiem powodziowym dla obszaru dorzecza Odry, zawierający w treści Plan zarządzania ryzykiem powodziowym dla regionu wodnego Warty, przyjęty Rozporządzeniem Rady Ministrów z dnia 18 października 2016 r., opublikowany w dniu 1 grudnia 2016 r. (Dz. U. poz. 1938) – dostępny w całości pod adresem: www.dziennikustaw.gov.pl/du/2016/1938.</w:t>
            </w:r>
          </w:p>
          <w:p w14:paraId="1E7C7509" w14:textId="77777777" w:rsidR="00410CE6" w:rsidRPr="00B9213B" w:rsidRDefault="00410CE6" w:rsidP="00B9213B">
            <w:pPr>
              <w:rPr>
                <w:rFonts w:cstheme="minorHAnsi"/>
                <w:sz w:val="20"/>
                <w:szCs w:val="20"/>
              </w:rPr>
            </w:pPr>
            <w:r w:rsidRPr="00B9213B">
              <w:rPr>
                <w:rFonts w:cstheme="minorHAnsi"/>
                <w:sz w:val="20"/>
                <w:szCs w:val="20"/>
              </w:rPr>
              <w:t>Obecnie trwają prace nad aktualizacją Planów zarządzania ryzykiem powodziowym. Projekt aPZRP można znaleźć na stronie: Projekty aPZRP dla obszarów dorzeczy – Stop Powodzi https://stoppowodzi.pl/projekty-apzrp/</w:t>
            </w:r>
          </w:p>
          <w:p w14:paraId="27A2917E" w14:textId="77777777" w:rsidR="00410CE6" w:rsidRPr="00B9213B" w:rsidRDefault="00410CE6" w:rsidP="00B9213B">
            <w:pPr>
              <w:rPr>
                <w:rFonts w:cstheme="minorHAnsi"/>
                <w:sz w:val="20"/>
                <w:szCs w:val="20"/>
              </w:rPr>
            </w:pPr>
            <w:r w:rsidRPr="00B9213B">
              <w:rPr>
                <w:rFonts w:cstheme="minorHAnsi"/>
                <w:sz w:val="20"/>
                <w:szCs w:val="20"/>
              </w:rPr>
              <w:t xml:space="preserve">Przeciwdziałanie skutkom suszy, zgodnie z art. 183 oraz 185 ustawy z dnia 20 lipca 2017 r. Prawo wodne (Dz.U. z 2021 r., poz. 624 ze zm.), prowadzi się zgodnie z planem przeciwdziałania skutkom suszy, który uwzględnia podział kraju na obszary dorzeczy. Plan przeciwdziałania skutkom suszy ma zawierać analizę możliwości powiększenia dyspozycyjnych zasobów wodnych, propozycje budowy lub przebudowy urządzeń wodnych, propozycje niezbędnych zmian w zakresie korzystania z zasobów wodnych oraz zmian naturalnej i sztucznej retencji, jak również katalog działań służących przeciwdziałaniu skutkom suszy. Projekt planu przeciwdziałania skutkom suszy przygotowują Wody Polskie w uzgodnieniu z ministrem właściwym do spraw rolnictwa, ministrem właściwym do spraw rozwoju wsi, ministrem właściwym do </w:t>
            </w:r>
            <w:r w:rsidRPr="00B9213B">
              <w:rPr>
                <w:rFonts w:cstheme="minorHAnsi"/>
                <w:sz w:val="20"/>
                <w:szCs w:val="20"/>
              </w:rPr>
              <w:lastRenderedPageBreak/>
              <w:t>spraw rybołówstwa, ministrem właściwym do spraw żeglugi śródlądowej oraz wojewodami, uwzględniając podział kraju na obszary dorzeczy. Wody Polskie przekazują projekt planu przeciwdziałania skutkom suszy ministrowi właściwemu do spraw gospodarki wodnej. Minister właściwy do spraw gospodarki wodnej, zapewniając</w:t>
            </w:r>
          </w:p>
          <w:p w14:paraId="22B46398" w14:textId="77777777" w:rsidR="00410CE6" w:rsidRPr="00B9213B" w:rsidRDefault="00410CE6" w:rsidP="00B9213B">
            <w:pPr>
              <w:rPr>
                <w:rFonts w:cstheme="minorHAnsi"/>
                <w:sz w:val="20"/>
                <w:szCs w:val="20"/>
              </w:rPr>
            </w:pPr>
            <w:r w:rsidRPr="00B9213B">
              <w:rPr>
                <w:rFonts w:cstheme="minorHAnsi"/>
                <w:sz w:val="20"/>
                <w:szCs w:val="20"/>
              </w:rPr>
              <w:t>aktywny udział wszystkich zainteresowanych w przygotowywaniu oraz aktualizacji planu przeciwdziałania skutkom suszy, podaje do publicznej wiadomości, na zasadach i w trybie określonych w przepisach ustawy z dnia 3 października 2008 r. o udostępnianiu informacji o środowisku i jego ochronie, udziale społeczeństwa w ochronie środowiska oraz o ocenach oddziaływania na środowisko, w celu zgłoszenia uwag: 1) harmonogram i program prac związanych z przygotowaniem projektu planu przeciwdziałania skutkom suszy; 2) projekt planu przeciwdziałania skutkom suszy co najmniej na rok przed rozpoczęciem okresu, którego dotyczy ten plan. W terminie 6 miesięcy od dnia podania do publicznej wiadomości dokumentów, o których mowa w ust. 3 cytowanej ustawy, zainteresowani mogą składać do ministra właściwego do spraw gospodarki wodnej uwagi do ustaleń zawartych w tych dokumentach. Minister właściwy do spraw gospodarki wodnej przyjmuje i aktualizuje plan przeciwdziałania skutkom suszy, w drodze rozporządzenia, kierując się koniecznością przeciwdziałania skutkom suszy. Aktualizacji planu przeciwdziałania skutkom suszy dokonuje się nie rzadziej niż co 6 lat.</w:t>
            </w:r>
          </w:p>
          <w:p w14:paraId="7D5D895E" w14:textId="77777777" w:rsidR="00410CE6" w:rsidRPr="00B9213B" w:rsidRDefault="00410CE6" w:rsidP="00B9213B">
            <w:pPr>
              <w:rPr>
                <w:rFonts w:cstheme="minorHAnsi"/>
                <w:sz w:val="20"/>
                <w:szCs w:val="20"/>
              </w:rPr>
            </w:pPr>
            <w:r w:rsidRPr="00B9213B">
              <w:rPr>
                <w:rFonts w:cstheme="minorHAnsi"/>
                <w:sz w:val="20"/>
                <w:szCs w:val="20"/>
              </w:rPr>
              <w:t>Plan przeciwdziałania skutkom suszy dla obszarów dorzeczy jest obecnie w procesie legislacji. Projekt Planu przeciwdziałania skutkom suszy dostępny jest na stronie</w:t>
            </w:r>
          </w:p>
          <w:p w14:paraId="086BE279" w14:textId="77777777" w:rsidR="00410CE6" w:rsidRPr="00B9213B" w:rsidRDefault="00410CE6" w:rsidP="00B9213B">
            <w:pPr>
              <w:rPr>
                <w:rFonts w:cstheme="minorHAnsi"/>
                <w:sz w:val="20"/>
                <w:szCs w:val="20"/>
              </w:rPr>
            </w:pPr>
            <w:r w:rsidRPr="00B9213B">
              <w:rPr>
                <w:rFonts w:cstheme="minorHAnsi"/>
                <w:sz w:val="20"/>
                <w:szCs w:val="20"/>
              </w:rPr>
              <w:t>https://stopsuszy.pl/projekt-planu-przeciwdzialania-skutkom-suszy/</w:t>
            </w:r>
          </w:p>
          <w:p w14:paraId="2DDBF13C" w14:textId="77777777" w:rsidR="00410CE6" w:rsidRPr="00B9213B" w:rsidRDefault="00410CE6" w:rsidP="00B9213B">
            <w:pPr>
              <w:rPr>
                <w:rFonts w:cstheme="minorHAnsi"/>
                <w:sz w:val="20"/>
                <w:szCs w:val="20"/>
              </w:rPr>
            </w:pPr>
            <w:r w:rsidRPr="00B9213B">
              <w:rPr>
                <w:rFonts w:cstheme="minorHAnsi"/>
                <w:sz w:val="20"/>
                <w:szCs w:val="20"/>
              </w:rPr>
              <w:t xml:space="preserve">Należy mieć na uwadze, że zgodnie z wytycznymi Komisji Europejskiej należy promować i w pierwszej kolejności rozważać działania zakładające naturalne metody retencji a budowanie retencji sztucznej należy traktować jako działania ostatecznego wyboru, w sytuacji, gdy przeanalizowano </w:t>
            </w:r>
            <w:r w:rsidRPr="00B9213B">
              <w:rPr>
                <w:rFonts w:cstheme="minorHAnsi"/>
                <w:sz w:val="20"/>
                <w:szCs w:val="20"/>
              </w:rPr>
              <w:lastRenderedPageBreak/>
              <w:t>wszystkie możliwe warianty, bardziej korzystne ze środowiskowego punktu widzenia (zgodność z art. 68 ustawy – Prawo wodne). Planowanie nowych działań inwestycyjnych w gospodarce wodnej, kształtowanie sztucznej retencji musi być poprzedzone szeregiem analiz, a dotyczące ich warunki i procedury muszą być zgodne z aktualnie obowiązującymi przepisami środowiskowymi, jak też być adekwatne do potrzeb w zakresie kształtowania retencji.</w:t>
            </w:r>
          </w:p>
          <w:p w14:paraId="69C243E4" w14:textId="77777777" w:rsidR="00410CE6" w:rsidRPr="00B9213B" w:rsidRDefault="00410CE6" w:rsidP="00B9213B">
            <w:pPr>
              <w:rPr>
                <w:rFonts w:cstheme="minorHAnsi"/>
                <w:sz w:val="20"/>
                <w:szCs w:val="20"/>
              </w:rPr>
            </w:pPr>
            <w:r w:rsidRPr="00B9213B">
              <w:rPr>
                <w:rFonts w:cstheme="minorHAnsi"/>
                <w:sz w:val="20"/>
                <w:szCs w:val="20"/>
              </w:rPr>
              <w:t>Wszelkie działania należy realizować z uwzględnieniem zapisów planów zarządzania</w:t>
            </w:r>
          </w:p>
          <w:p w14:paraId="16DDF066" w14:textId="5CB36B67" w:rsidR="00410CE6" w:rsidRPr="00B9213B" w:rsidRDefault="00410CE6" w:rsidP="00B9213B">
            <w:pPr>
              <w:rPr>
                <w:rFonts w:cstheme="minorHAnsi"/>
                <w:sz w:val="20"/>
                <w:szCs w:val="20"/>
              </w:rPr>
            </w:pPr>
            <w:r w:rsidRPr="00B9213B">
              <w:rPr>
                <w:rFonts w:cstheme="minorHAnsi"/>
                <w:sz w:val="20"/>
                <w:szCs w:val="20"/>
              </w:rPr>
              <w:t>ryzykiem powodziowym i planu przeciwdziałania skutkom suszy.</w:t>
            </w:r>
          </w:p>
        </w:tc>
        <w:tc>
          <w:tcPr>
            <w:tcW w:w="2937" w:type="dxa"/>
            <w:tcBorders>
              <w:top w:val="single" w:sz="4" w:space="0" w:color="auto"/>
              <w:left w:val="single" w:sz="4" w:space="0" w:color="auto"/>
              <w:bottom w:val="single" w:sz="4" w:space="0" w:color="auto"/>
              <w:right w:val="single" w:sz="4" w:space="0" w:color="auto"/>
            </w:tcBorders>
            <w:vAlign w:val="center"/>
          </w:tcPr>
          <w:p w14:paraId="2CF7D106" w14:textId="77777777" w:rsidR="00410CE6" w:rsidRPr="00B9213B" w:rsidRDefault="00410CE6" w:rsidP="00B9213B">
            <w:pPr>
              <w:pStyle w:val="Default"/>
              <w:rPr>
                <w:rFonts w:asciiTheme="minorHAnsi" w:hAnsiTheme="minorHAnsi" w:cstheme="minorHAnsi"/>
                <w:sz w:val="20"/>
                <w:szCs w:val="20"/>
              </w:rPr>
            </w:pPr>
            <w:r w:rsidRPr="00B9213B">
              <w:rPr>
                <w:rFonts w:asciiTheme="minorHAnsi" w:hAnsiTheme="minorHAnsi" w:cstheme="minorHAnsi"/>
                <w:sz w:val="20"/>
                <w:szCs w:val="20"/>
              </w:rPr>
              <w:lastRenderedPageBreak/>
              <w:t xml:space="preserve">Zgodnie z art. 326 ust. 1 ustawy z dnia 20 lipca 2017r. Prawo wodne (Dz.U. 2021 poz. 624 z późn. zm.) ustalenia dokumentów planistycznych, o których mowa w art. 315 pkt 1-3, uwzględnia się w strategii rozwoju gminy. </w:t>
            </w:r>
          </w:p>
          <w:p w14:paraId="5B5C39DE" w14:textId="77777777" w:rsidR="00410CE6" w:rsidRPr="00B9213B" w:rsidRDefault="00410CE6" w:rsidP="00B9213B">
            <w:pPr>
              <w:rPr>
                <w:rFonts w:cstheme="minorHAnsi"/>
                <w:sz w:val="20"/>
                <w:szCs w:val="20"/>
              </w:rPr>
            </w:pPr>
          </w:p>
        </w:tc>
        <w:tc>
          <w:tcPr>
            <w:tcW w:w="1673" w:type="dxa"/>
            <w:vAlign w:val="center"/>
          </w:tcPr>
          <w:p w14:paraId="7C24D80E" w14:textId="68C12911" w:rsidR="00410CE6" w:rsidRPr="00B9213B" w:rsidRDefault="00FC3E97" w:rsidP="00B9213B">
            <w:pPr>
              <w:rPr>
                <w:rFonts w:cstheme="minorHAnsi"/>
                <w:sz w:val="20"/>
                <w:szCs w:val="20"/>
              </w:rPr>
            </w:pPr>
            <w:r>
              <w:rPr>
                <w:rFonts w:cstheme="minorHAnsi"/>
                <w:sz w:val="20"/>
                <w:szCs w:val="20"/>
              </w:rPr>
              <w:t>Uwzględniono częściowo</w:t>
            </w:r>
          </w:p>
        </w:tc>
        <w:tc>
          <w:tcPr>
            <w:tcW w:w="2149" w:type="dxa"/>
            <w:vAlign w:val="center"/>
          </w:tcPr>
          <w:p w14:paraId="2D7848D3" w14:textId="77777777" w:rsidR="00410CE6" w:rsidRDefault="005B163D" w:rsidP="00B9213B">
            <w:pPr>
              <w:rPr>
                <w:rFonts w:cstheme="minorHAnsi"/>
                <w:sz w:val="20"/>
                <w:szCs w:val="20"/>
              </w:rPr>
            </w:pPr>
            <w:r>
              <w:rPr>
                <w:rFonts w:cstheme="minorHAnsi"/>
                <w:sz w:val="20"/>
                <w:szCs w:val="20"/>
              </w:rPr>
              <w:t xml:space="preserve">Strategia Rozwoju Gminy jest dokumentem o szerokim zastosowaniu w zakresie planowania i realizacji działań rozwojowych. Strategia nie jest też jedynym dokumentem, na którym opiera się rozwój. Uwaga </w:t>
            </w:r>
            <w:r w:rsidR="00987565">
              <w:rPr>
                <w:rFonts w:cstheme="minorHAnsi"/>
                <w:sz w:val="20"/>
                <w:szCs w:val="20"/>
              </w:rPr>
              <w:t>tu sformułowana jest oczywiście istotna, ale znajdzie swoje zastosowanie do innych dokumentach, w tym w Studium Zagospodarowania Przestrzennego, którego najważniejsze wnioski zostały zawarte w Strategii, ale jako dokumentu pochodnego względem Studium.</w:t>
            </w:r>
          </w:p>
          <w:p w14:paraId="2C818C32" w14:textId="61C45ABE" w:rsidR="00B611E6" w:rsidRPr="00B9213B" w:rsidRDefault="00B611E6" w:rsidP="00B9213B">
            <w:pPr>
              <w:rPr>
                <w:rFonts w:cstheme="minorHAnsi"/>
                <w:sz w:val="20"/>
                <w:szCs w:val="20"/>
              </w:rPr>
            </w:pPr>
            <w:r>
              <w:rPr>
                <w:rFonts w:cstheme="minorHAnsi"/>
                <w:sz w:val="20"/>
                <w:szCs w:val="20"/>
              </w:rPr>
              <w:lastRenderedPageBreak/>
              <w:t>Uzupełniono zapis na stronie 60</w:t>
            </w:r>
          </w:p>
        </w:tc>
      </w:tr>
    </w:tbl>
    <w:p w14:paraId="73E6E105" w14:textId="77777777" w:rsidR="00B611E6" w:rsidRDefault="00B611E6" w:rsidP="00285C15">
      <w:pPr>
        <w:jc w:val="both"/>
        <w:sectPr w:rsidR="00B611E6" w:rsidSect="002265A9">
          <w:pgSz w:w="16838" w:h="11906" w:orient="landscape"/>
          <w:pgMar w:top="1417" w:right="1417" w:bottom="1417" w:left="1417" w:header="708" w:footer="708" w:gutter="0"/>
          <w:cols w:space="708"/>
          <w:docGrid w:linePitch="360"/>
        </w:sectPr>
      </w:pPr>
    </w:p>
    <w:p w14:paraId="45F137C2" w14:textId="2BAC1CFD" w:rsidR="003C57AB" w:rsidRDefault="003C57AB" w:rsidP="00B27243">
      <w:pPr>
        <w:jc w:val="both"/>
      </w:pPr>
    </w:p>
    <w:sectPr w:rsidR="003C57AB" w:rsidSect="00B611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E9F8D" w14:textId="77777777" w:rsidR="008012F9" w:rsidRDefault="008012F9" w:rsidP="00B27243">
      <w:pPr>
        <w:spacing w:after="0" w:line="240" w:lineRule="auto"/>
      </w:pPr>
      <w:r>
        <w:separator/>
      </w:r>
    </w:p>
  </w:endnote>
  <w:endnote w:type="continuationSeparator" w:id="0">
    <w:p w14:paraId="27DD9AB7" w14:textId="77777777" w:rsidR="008012F9" w:rsidRDefault="008012F9" w:rsidP="00B27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351029"/>
      <w:docPartObj>
        <w:docPartGallery w:val="Page Numbers (Bottom of Page)"/>
        <w:docPartUnique/>
      </w:docPartObj>
    </w:sdtPr>
    <w:sdtEndPr/>
    <w:sdtContent>
      <w:p w14:paraId="4E346FED" w14:textId="198623A7" w:rsidR="00B27243" w:rsidRDefault="00B27243">
        <w:pPr>
          <w:pStyle w:val="Stopka"/>
          <w:jc w:val="right"/>
        </w:pPr>
        <w:r>
          <w:fldChar w:fldCharType="begin"/>
        </w:r>
        <w:r>
          <w:instrText>PAGE   \* MERGEFORMAT</w:instrText>
        </w:r>
        <w:r>
          <w:fldChar w:fldCharType="separate"/>
        </w:r>
        <w:r>
          <w:t>2</w:t>
        </w:r>
        <w:r>
          <w:fldChar w:fldCharType="end"/>
        </w:r>
      </w:p>
    </w:sdtContent>
  </w:sdt>
  <w:p w14:paraId="67C9943B" w14:textId="77777777" w:rsidR="00B27243" w:rsidRDefault="00B272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7AFBA" w14:textId="77777777" w:rsidR="008012F9" w:rsidRDefault="008012F9" w:rsidP="00B27243">
      <w:pPr>
        <w:spacing w:after="0" w:line="240" w:lineRule="auto"/>
      </w:pPr>
      <w:r>
        <w:separator/>
      </w:r>
    </w:p>
  </w:footnote>
  <w:footnote w:type="continuationSeparator" w:id="0">
    <w:p w14:paraId="568013FA" w14:textId="77777777" w:rsidR="008012F9" w:rsidRDefault="008012F9" w:rsidP="00B272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5AF"/>
    <w:multiLevelType w:val="hybridMultilevel"/>
    <w:tmpl w:val="B298FE84"/>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 w15:restartNumberingAfterBreak="0">
    <w:nsid w:val="329D6419"/>
    <w:multiLevelType w:val="hybridMultilevel"/>
    <w:tmpl w:val="B840E6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DD"/>
    <w:rsid w:val="000F7E81"/>
    <w:rsid w:val="001750BE"/>
    <w:rsid w:val="00181149"/>
    <w:rsid w:val="001A1A53"/>
    <w:rsid w:val="001E67C2"/>
    <w:rsid w:val="002265A9"/>
    <w:rsid w:val="00263230"/>
    <w:rsid w:val="002801DA"/>
    <w:rsid w:val="00285C15"/>
    <w:rsid w:val="002A6CA0"/>
    <w:rsid w:val="002E1486"/>
    <w:rsid w:val="002E5D8E"/>
    <w:rsid w:val="00352015"/>
    <w:rsid w:val="003565F4"/>
    <w:rsid w:val="00364514"/>
    <w:rsid w:val="003C57AB"/>
    <w:rsid w:val="003E486C"/>
    <w:rsid w:val="003E630A"/>
    <w:rsid w:val="003F5A7A"/>
    <w:rsid w:val="00410CE6"/>
    <w:rsid w:val="00476762"/>
    <w:rsid w:val="004D4E03"/>
    <w:rsid w:val="00520DE0"/>
    <w:rsid w:val="005B163D"/>
    <w:rsid w:val="005F77E7"/>
    <w:rsid w:val="00621DD3"/>
    <w:rsid w:val="00640A94"/>
    <w:rsid w:val="0065671E"/>
    <w:rsid w:val="00680C8A"/>
    <w:rsid w:val="006D2780"/>
    <w:rsid w:val="006E15AE"/>
    <w:rsid w:val="00755D1F"/>
    <w:rsid w:val="0078169B"/>
    <w:rsid w:val="0078635B"/>
    <w:rsid w:val="008012F9"/>
    <w:rsid w:val="008603EA"/>
    <w:rsid w:val="00871692"/>
    <w:rsid w:val="008D3686"/>
    <w:rsid w:val="00943E23"/>
    <w:rsid w:val="009860CF"/>
    <w:rsid w:val="00987565"/>
    <w:rsid w:val="009F3D0C"/>
    <w:rsid w:val="00A04884"/>
    <w:rsid w:val="00A207BE"/>
    <w:rsid w:val="00A32993"/>
    <w:rsid w:val="00A510FC"/>
    <w:rsid w:val="00A63971"/>
    <w:rsid w:val="00A9391F"/>
    <w:rsid w:val="00AB4A49"/>
    <w:rsid w:val="00AD74C9"/>
    <w:rsid w:val="00AF0D1B"/>
    <w:rsid w:val="00AF10DD"/>
    <w:rsid w:val="00B27243"/>
    <w:rsid w:val="00B414BB"/>
    <w:rsid w:val="00B611E6"/>
    <w:rsid w:val="00B64823"/>
    <w:rsid w:val="00B735E5"/>
    <w:rsid w:val="00B9213B"/>
    <w:rsid w:val="00B9576C"/>
    <w:rsid w:val="00BB0A9F"/>
    <w:rsid w:val="00C02F94"/>
    <w:rsid w:val="00C25CA4"/>
    <w:rsid w:val="00C765B2"/>
    <w:rsid w:val="00CA1D58"/>
    <w:rsid w:val="00CA3C82"/>
    <w:rsid w:val="00CF6807"/>
    <w:rsid w:val="00D231F1"/>
    <w:rsid w:val="00D40660"/>
    <w:rsid w:val="00DA1EB7"/>
    <w:rsid w:val="00DA5FF3"/>
    <w:rsid w:val="00E51EEF"/>
    <w:rsid w:val="00E70168"/>
    <w:rsid w:val="00EB7863"/>
    <w:rsid w:val="00EF5641"/>
    <w:rsid w:val="00F32280"/>
    <w:rsid w:val="00F33680"/>
    <w:rsid w:val="00F40C04"/>
    <w:rsid w:val="00F67927"/>
    <w:rsid w:val="00FC09B6"/>
    <w:rsid w:val="00FC3E97"/>
    <w:rsid w:val="00FF2D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F0FC1"/>
  <w15:chartTrackingRefBased/>
  <w15:docId w15:val="{B5C16A0F-9EC3-4D38-A434-17CD0F2D6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85C15"/>
    <w:pPr>
      <w:ind w:left="720"/>
      <w:contextualSpacing/>
    </w:pPr>
  </w:style>
  <w:style w:type="character" w:styleId="Hipercze">
    <w:name w:val="Hyperlink"/>
    <w:basedOn w:val="Domylnaczcionkaakapitu"/>
    <w:uiPriority w:val="99"/>
    <w:unhideWhenUsed/>
    <w:rsid w:val="003E486C"/>
    <w:rPr>
      <w:color w:val="0563C1" w:themeColor="hyperlink"/>
      <w:u w:val="single"/>
    </w:rPr>
  </w:style>
  <w:style w:type="character" w:styleId="Nierozpoznanawzmianka">
    <w:name w:val="Unresolved Mention"/>
    <w:basedOn w:val="Domylnaczcionkaakapitu"/>
    <w:uiPriority w:val="99"/>
    <w:semiHidden/>
    <w:unhideWhenUsed/>
    <w:rsid w:val="003E486C"/>
    <w:rPr>
      <w:color w:val="605E5C"/>
      <w:shd w:val="clear" w:color="auto" w:fill="E1DFDD"/>
    </w:rPr>
  </w:style>
  <w:style w:type="table" w:styleId="Tabela-Siatka">
    <w:name w:val="Table Grid"/>
    <w:basedOn w:val="Standardowy"/>
    <w:uiPriority w:val="39"/>
    <w:rsid w:val="00DA1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671E"/>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B272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7243"/>
  </w:style>
  <w:style w:type="paragraph" w:styleId="Stopka">
    <w:name w:val="footer"/>
    <w:basedOn w:val="Normalny"/>
    <w:link w:val="StopkaZnak"/>
    <w:uiPriority w:val="99"/>
    <w:unhideWhenUsed/>
    <w:rsid w:val="00B272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7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62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re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3208</Words>
  <Characters>19252</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Kamiński</dc:creator>
  <cp:keywords/>
  <dc:description/>
  <cp:lastModifiedBy>Mateusz Barełkowski</cp:lastModifiedBy>
  <cp:revision>6</cp:revision>
  <dcterms:created xsi:type="dcterms:W3CDTF">2021-09-29T09:49:00Z</dcterms:created>
  <dcterms:modified xsi:type="dcterms:W3CDTF">2022-02-07T12:14:00Z</dcterms:modified>
</cp:coreProperties>
</file>